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680B" w14:textId="77777777" w:rsidR="00235A8C" w:rsidRPr="00466939" w:rsidRDefault="00B1493D" w:rsidP="000F3A63">
      <w:pPr>
        <w:spacing w:after="240"/>
        <w:jc w:val="center"/>
        <w:rPr>
          <w:lang w:val="hu-HU"/>
        </w:rPr>
      </w:pPr>
      <w:r w:rsidRPr="00466939">
        <w:rPr>
          <w:b/>
          <w:lang w:val="hu-HU"/>
        </w:rPr>
        <w:t>ADAT</w:t>
      </w:r>
      <w:r w:rsidR="00387E44" w:rsidRPr="00466939">
        <w:rPr>
          <w:b/>
          <w:lang w:val="hu-HU"/>
        </w:rPr>
        <w:t>FELHASZNÁLÁSI</w:t>
      </w:r>
      <w:r w:rsidRPr="00466939">
        <w:rPr>
          <w:b/>
          <w:lang w:val="hu-HU"/>
        </w:rPr>
        <w:t xml:space="preserve"> </w:t>
      </w:r>
      <w:r w:rsidR="00235A8C" w:rsidRPr="00466939">
        <w:rPr>
          <w:b/>
          <w:lang w:val="hu-HU"/>
        </w:rPr>
        <w:t>MEGÁLLAPODÁS</w:t>
      </w:r>
    </w:p>
    <w:p w14:paraId="30495B9E" w14:textId="77777777" w:rsidR="000F699C" w:rsidRPr="00466939" w:rsidRDefault="000F699C" w:rsidP="00AB48B3">
      <w:pPr>
        <w:spacing w:before="120" w:after="120" w:line="276" w:lineRule="auto"/>
        <w:jc w:val="both"/>
        <w:rPr>
          <w:lang w:val="hu-HU" w:eastAsia="hu-HU"/>
        </w:rPr>
      </w:pPr>
      <w:r w:rsidRPr="00466939">
        <w:rPr>
          <w:lang w:val="hu-HU" w:eastAsia="hu-HU"/>
        </w:rPr>
        <w:t>Amely létrejött egyrészről a</w:t>
      </w:r>
    </w:p>
    <w:p w14:paraId="094C8C47" w14:textId="77777777" w:rsidR="000F699C" w:rsidRPr="00466939" w:rsidRDefault="000F699C" w:rsidP="00AB48B3">
      <w:pPr>
        <w:spacing w:before="120" w:after="120" w:line="276" w:lineRule="auto"/>
        <w:jc w:val="both"/>
        <w:rPr>
          <w:b/>
          <w:spacing w:val="40"/>
          <w:lang w:val="hu-HU" w:eastAsia="hu-HU"/>
        </w:rPr>
      </w:pPr>
      <w:r w:rsidRPr="00466939">
        <w:rPr>
          <w:b/>
          <w:spacing w:val="40"/>
          <w:lang w:val="hu-HU" w:eastAsia="hu-HU"/>
        </w:rPr>
        <w:t>Központi Statisztikai Hivatal Népességtudományi Kutató</w:t>
      </w:r>
      <w:r w:rsidR="00335555" w:rsidRPr="00466939">
        <w:rPr>
          <w:b/>
          <w:spacing w:val="40"/>
          <w:lang w:val="hu-HU" w:eastAsia="hu-HU"/>
        </w:rPr>
        <w:t xml:space="preserve"> I</w:t>
      </w:r>
      <w:r w:rsidRPr="00466939">
        <w:rPr>
          <w:b/>
          <w:spacing w:val="40"/>
          <w:lang w:val="hu-HU" w:eastAsia="hu-HU"/>
        </w:rPr>
        <w:t>ntézet</w:t>
      </w:r>
    </w:p>
    <w:p w14:paraId="58AE2508" w14:textId="77777777" w:rsidR="000F699C" w:rsidRPr="00466939" w:rsidRDefault="000F699C" w:rsidP="00AB48B3">
      <w:pPr>
        <w:tabs>
          <w:tab w:val="left" w:pos="2835"/>
        </w:tabs>
        <w:spacing w:before="120" w:after="120" w:line="276" w:lineRule="auto"/>
        <w:jc w:val="both"/>
        <w:rPr>
          <w:i/>
          <w:lang w:val="hu-HU" w:eastAsia="hu-HU"/>
        </w:rPr>
      </w:pPr>
      <w:r w:rsidRPr="00466939">
        <w:rPr>
          <w:i/>
          <w:lang w:val="hu-HU" w:eastAsia="hu-HU"/>
        </w:rPr>
        <w:t>(rövidített elnevezése:</w:t>
      </w:r>
      <w:r w:rsidRPr="00466939">
        <w:rPr>
          <w:i/>
          <w:lang w:val="hu-HU" w:eastAsia="hu-HU"/>
        </w:rPr>
        <w:tab/>
        <w:t>KSH</w:t>
      </w:r>
      <w:r w:rsidR="00AB48B3" w:rsidRPr="00466939">
        <w:rPr>
          <w:i/>
          <w:lang w:val="hu-HU" w:eastAsia="hu-HU"/>
        </w:rPr>
        <w:t xml:space="preserve"> NKI</w:t>
      </w:r>
    </w:p>
    <w:p w14:paraId="2BCF8850" w14:textId="77777777" w:rsidR="000F699C" w:rsidRPr="00466939" w:rsidRDefault="000F699C" w:rsidP="00AB48B3">
      <w:pPr>
        <w:tabs>
          <w:tab w:val="left" w:pos="2835"/>
        </w:tabs>
        <w:spacing w:before="120" w:after="120" w:line="276" w:lineRule="auto"/>
        <w:jc w:val="both"/>
        <w:rPr>
          <w:i/>
          <w:lang w:val="hu-HU" w:eastAsia="hu-HU"/>
        </w:rPr>
      </w:pPr>
      <w:r w:rsidRPr="00466939">
        <w:rPr>
          <w:i/>
          <w:lang w:val="hu-HU" w:eastAsia="hu-HU"/>
        </w:rPr>
        <w:t xml:space="preserve">székhelye: </w:t>
      </w:r>
      <w:r w:rsidRPr="00466939">
        <w:rPr>
          <w:i/>
          <w:lang w:val="hu-HU" w:eastAsia="hu-HU"/>
        </w:rPr>
        <w:tab/>
      </w:r>
      <w:r w:rsidR="002839D2" w:rsidRPr="00466939">
        <w:rPr>
          <w:i/>
          <w:lang w:val="hu-HU" w:eastAsia="hu-HU"/>
        </w:rPr>
        <w:t>1024 Budapest Buday László utca 1-3.</w:t>
      </w:r>
    </w:p>
    <w:p w14:paraId="53AD27D3" w14:textId="77777777" w:rsidR="001B791C" w:rsidRPr="00466939" w:rsidRDefault="001B791C" w:rsidP="00BE170C">
      <w:pPr>
        <w:spacing w:before="120" w:after="120" w:line="276" w:lineRule="auto"/>
        <w:ind w:left="2835" w:hanging="2835"/>
        <w:jc w:val="both"/>
        <w:rPr>
          <w:i/>
          <w:lang w:val="hu-HU" w:eastAsia="hu-HU"/>
        </w:rPr>
      </w:pPr>
      <w:r w:rsidRPr="00466939">
        <w:rPr>
          <w:i/>
          <w:lang w:val="hu-HU" w:eastAsia="hu-HU"/>
        </w:rPr>
        <w:t xml:space="preserve">levelezési cím: </w:t>
      </w:r>
      <w:r w:rsidR="00BE170C" w:rsidRPr="00466939">
        <w:rPr>
          <w:i/>
          <w:lang w:val="hu-HU" w:eastAsia="hu-HU"/>
        </w:rPr>
        <w:tab/>
      </w:r>
      <w:r w:rsidRPr="00466939">
        <w:rPr>
          <w:i/>
        </w:rPr>
        <w:t>1525 Budapest</w:t>
      </w:r>
      <w:r w:rsidRPr="00466939">
        <w:rPr>
          <w:i/>
          <w:lang w:val="hu-HU" w:eastAsia="hu-HU"/>
        </w:rPr>
        <w:t>, Pf. 51</w:t>
      </w:r>
    </w:p>
    <w:p w14:paraId="34DD9D6C" w14:textId="77777777" w:rsidR="001B791C" w:rsidRPr="00466939" w:rsidRDefault="001B791C" w:rsidP="00BE170C">
      <w:pPr>
        <w:spacing w:before="120" w:after="120" w:line="276" w:lineRule="auto"/>
        <w:ind w:left="2835" w:hanging="2835"/>
        <w:jc w:val="both"/>
        <w:rPr>
          <w:lang w:val="hu-HU" w:eastAsia="hu-HU"/>
        </w:rPr>
      </w:pPr>
      <w:r w:rsidRPr="00466939">
        <w:rPr>
          <w:i/>
          <w:lang w:val="hu-HU" w:eastAsia="hu-HU"/>
        </w:rPr>
        <w:t>e-mail cím:</w:t>
      </w:r>
      <w:r w:rsidR="00BE170C" w:rsidRPr="00466939">
        <w:rPr>
          <w:i/>
          <w:lang w:val="hu-HU" w:eastAsia="hu-HU"/>
        </w:rPr>
        <w:tab/>
      </w:r>
      <w:r w:rsidRPr="00466939">
        <w:rPr>
          <w:i/>
          <w:lang w:val="hu-HU" w:eastAsia="hu-HU"/>
        </w:rPr>
        <w:t>nki@demografia.hu</w:t>
      </w:r>
    </w:p>
    <w:p w14:paraId="34ED14EC" w14:textId="77777777" w:rsidR="001B791C" w:rsidRPr="00466939" w:rsidRDefault="001B791C" w:rsidP="00BE170C">
      <w:pPr>
        <w:spacing w:before="120" w:after="120" w:line="276" w:lineRule="auto"/>
        <w:ind w:left="2835" w:hanging="2835"/>
        <w:jc w:val="both"/>
        <w:rPr>
          <w:lang w:val="hu-HU" w:eastAsia="hu-HU"/>
        </w:rPr>
      </w:pPr>
      <w:r w:rsidRPr="00466939">
        <w:rPr>
          <w:i/>
          <w:lang w:val="hu-HU" w:eastAsia="hu-HU"/>
        </w:rPr>
        <w:t>telefonszám:</w:t>
      </w:r>
      <w:r w:rsidR="00BE170C" w:rsidRPr="00466939">
        <w:rPr>
          <w:i/>
          <w:lang w:val="hu-HU" w:eastAsia="hu-HU"/>
        </w:rPr>
        <w:tab/>
      </w:r>
      <w:r w:rsidRPr="00466939">
        <w:rPr>
          <w:i/>
          <w:lang w:val="hu-HU" w:eastAsia="hu-HU"/>
        </w:rPr>
        <w:t>+3613456573</w:t>
      </w:r>
    </w:p>
    <w:p w14:paraId="06486FAA" w14:textId="3ADCA3BA" w:rsidR="002702ED" w:rsidRPr="00466939" w:rsidRDefault="002702ED" w:rsidP="00BE170C">
      <w:pPr>
        <w:spacing w:before="120" w:after="120" w:line="276" w:lineRule="auto"/>
        <w:ind w:left="2835" w:hanging="2835"/>
        <w:jc w:val="both"/>
        <w:rPr>
          <w:i/>
          <w:lang w:val="hu-HU" w:eastAsia="hu-HU"/>
        </w:rPr>
      </w:pPr>
      <w:r w:rsidRPr="00466939">
        <w:rPr>
          <w:i/>
          <w:lang w:val="hu-HU" w:eastAsia="hu-HU"/>
        </w:rPr>
        <w:t xml:space="preserve">képviseli: </w:t>
      </w:r>
      <w:r w:rsidRPr="00466939">
        <w:rPr>
          <w:i/>
          <w:lang w:val="hu-HU" w:eastAsia="hu-HU"/>
        </w:rPr>
        <w:tab/>
      </w:r>
      <w:r w:rsidR="00A81F6E" w:rsidRPr="00466939">
        <w:rPr>
          <w:i/>
          <w:lang w:val="hu-HU" w:eastAsia="hu-HU"/>
        </w:rPr>
        <w:t xml:space="preserve">Murinkó </w:t>
      </w:r>
      <w:proofErr w:type="gramStart"/>
      <w:r w:rsidR="00A81F6E" w:rsidRPr="00466939">
        <w:rPr>
          <w:i/>
          <w:lang w:val="hu-HU" w:eastAsia="hu-HU"/>
        </w:rPr>
        <w:t>Lívia</w:t>
      </w:r>
      <w:r w:rsidR="003D22F3">
        <w:rPr>
          <w:i/>
          <w:lang w:val="hu-HU" w:eastAsia="hu-HU"/>
        </w:rPr>
        <w:t xml:space="preserve"> )</w:t>
      </w:r>
      <w:proofErr w:type="gramEnd"/>
    </w:p>
    <w:p w14:paraId="23F07CA4" w14:textId="77777777" w:rsidR="000F699C" w:rsidRPr="00466939" w:rsidRDefault="000F699C" w:rsidP="00AB48B3">
      <w:pPr>
        <w:spacing w:before="120" w:after="120" w:line="276" w:lineRule="auto"/>
        <w:jc w:val="both"/>
        <w:rPr>
          <w:b/>
          <w:lang w:val="hu-HU" w:eastAsia="hu-HU"/>
        </w:rPr>
      </w:pPr>
      <w:r w:rsidRPr="00466939">
        <w:rPr>
          <w:lang w:val="hu-HU" w:eastAsia="hu-HU"/>
        </w:rPr>
        <w:t xml:space="preserve">mint </w:t>
      </w:r>
      <w:r w:rsidR="004B594B" w:rsidRPr="00466939">
        <w:rPr>
          <w:lang w:val="hu-HU" w:eastAsia="hu-HU"/>
        </w:rPr>
        <w:t>Jogtulajdonos</w:t>
      </w:r>
      <w:r w:rsidRPr="00466939">
        <w:rPr>
          <w:lang w:val="hu-HU" w:eastAsia="hu-HU"/>
        </w:rPr>
        <w:t xml:space="preserve"> (a továbbiakban: </w:t>
      </w:r>
      <w:r w:rsidR="004B594B" w:rsidRPr="00466939">
        <w:rPr>
          <w:i/>
          <w:lang w:val="hu-HU" w:eastAsia="hu-HU"/>
        </w:rPr>
        <w:t>Jogtulajdonos/KSH</w:t>
      </w:r>
      <w:r w:rsidR="00AB48B3" w:rsidRPr="00466939">
        <w:rPr>
          <w:i/>
          <w:lang w:val="hu-HU" w:eastAsia="hu-HU"/>
        </w:rPr>
        <w:t xml:space="preserve"> NKI</w:t>
      </w:r>
      <w:r w:rsidRPr="00466939">
        <w:rPr>
          <w:i/>
          <w:lang w:val="hu-HU" w:eastAsia="hu-HU"/>
        </w:rPr>
        <w:t>)</w:t>
      </w:r>
    </w:p>
    <w:p w14:paraId="5BEA55AD" w14:textId="7AE84816" w:rsidR="000F699C" w:rsidRPr="00466939" w:rsidRDefault="000F699C" w:rsidP="00AB48B3">
      <w:pPr>
        <w:tabs>
          <w:tab w:val="left" w:pos="2920"/>
        </w:tabs>
        <w:spacing w:before="120" w:after="120" w:line="276" w:lineRule="auto"/>
        <w:jc w:val="both"/>
        <w:rPr>
          <w:rFonts w:eastAsia="Calibri"/>
          <w:lang w:val="hu-HU"/>
        </w:rPr>
      </w:pPr>
      <w:r w:rsidRPr="00466939">
        <w:rPr>
          <w:rFonts w:eastAsia="Calibri"/>
          <w:lang w:val="hu-HU" w:eastAsia="hu-HU"/>
        </w:rPr>
        <w:t>másrészről</w:t>
      </w:r>
    </w:p>
    <w:p w14:paraId="47E5AD3B" w14:textId="77777777" w:rsidR="000F699C" w:rsidRPr="00466939" w:rsidRDefault="004B594B" w:rsidP="00AB48B3">
      <w:pPr>
        <w:tabs>
          <w:tab w:val="left" w:pos="1800"/>
        </w:tabs>
        <w:spacing w:before="120" w:after="120"/>
        <w:jc w:val="both"/>
        <w:rPr>
          <w:rFonts w:eastAsia="Calibri"/>
          <w:b/>
          <w:spacing w:val="40"/>
          <w:lang w:val="hu-HU" w:eastAsia="hu-HU"/>
        </w:rPr>
      </w:pPr>
      <w:r w:rsidRPr="00466939">
        <w:rPr>
          <w:rFonts w:eastAsia="Calibri"/>
          <w:b/>
          <w:spacing w:val="40"/>
          <w:lang w:val="hu-HU" w:eastAsia="hu-HU"/>
        </w:rPr>
        <w:t>……………………………………..</w:t>
      </w:r>
    </w:p>
    <w:p w14:paraId="5133930A" w14:textId="77777777" w:rsidR="000F699C" w:rsidRPr="00466939" w:rsidRDefault="000F699C" w:rsidP="00AB48B3">
      <w:pPr>
        <w:tabs>
          <w:tab w:val="left" w:pos="2835"/>
        </w:tabs>
        <w:spacing w:before="120" w:after="120" w:line="276" w:lineRule="auto"/>
        <w:jc w:val="both"/>
        <w:rPr>
          <w:i/>
          <w:lang w:val="hu-HU" w:eastAsia="hu-HU"/>
        </w:rPr>
      </w:pPr>
      <w:r w:rsidRPr="00466939">
        <w:rPr>
          <w:i/>
          <w:lang w:val="hu-HU" w:eastAsia="hu-HU"/>
        </w:rPr>
        <w:t>(</w:t>
      </w:r>
      <w:r w:rsidR="004B594B" w:rsidRPr="00466939">
        <w:rPr>
          <w:i/>
          <w:lang w:val="hu-HU" w:eastAsia="hu-HU"/>
        </w:rPr>
        <w:t>lakóhely:</w:t>
      </w:r>
      <w:r w:rsidR="004B594B" w:rsidRPr="00466939">
        <w:rPr>
          <w:i/>
          <w:lang w:val="hu-HU" w:eastAsia="hu-HU"/>
        </w:rPr>
        <w:tab/>
      </w:r>
      <w:r w:rsidR="004B594B" w:rsidRPr="00466939">
        <w:rPr>
          <w:i/>
          <w:lang w:val="hu-HU" w:eastAsia="hu-HU"/>
        </w:rPr>
        <w:tab/>
        <w:t>…………………………</w:t>
      </w:r>
      <w:proofErr w:type="gramStart"/>
      <w:r w:rsidR="004B594B" w:rsidRPr="00466939">
        <w:rPr>
          <w:i/>
          <w:lang w:val="hu-HU" w:eastAsia="hu-HU"/>
        </w:rPr>
        <w:t>…….</w:t>
      </w:r>
      <w:proofErr w:type="gramEnd"/>
      <w:r w:rsidR="004B594B" w:rsidRPr="00466939">
        <w:rPr>
          <w:i/>
          <w:lang w:val="hu-HU" w:eastAsia="hu-HU"/>
        </w:rPr>
        <w:t>.</w:t>
      </w:r>
    </w:p>
    <w:p w14:paraId="429CC1F8" w14:textId="77777777" w:rsidR="000F699C" w:rsidRPr="00466939" w:rsidRDefault="004B594B" w:rsidP="00AB48B3">
      <w:pPr>
        <w:tabs>
          <w:tab w:val="left" w:pos="2835"/>
        </w:tabs>
        <w:spacing w:before="120" w:after="120" w:line="276" w:lineRule="auto"/>
        <w:jc w:val="both"/>
        <w:rPr>
          <w:i/>
          <w:lang w:val="hu-HU" w:eastAsia="hu-HU"/>
        </w:rPr>
      </w:pPr>
      <w:r w:rsidRPr="00466939">
        <w:rPr>
          <w:i/>
          <w:lang w:val="hu-HU" w:eastAsia="hu-HU"/>
        </w:rPr>
        <w:t>levelezési cím</w:t>
      </w:r>
      <w:r w:rsidR="000F699C" w:rsidRPr="00466939">
        <w:rPr>
          <w:i/>
          <w:lang w:val="hu-HU" w:eastAsia="hu-HU"/>
        </w:rPr>
        <w:t xml:space="preserve">: </w:t>
      </w:r>
      <w:r w:rsidR="000F699C" w:rsidRPr="00466939">
        <w:rPr>
          <w:i/>
          <w:lang w:val="hu-HU" w:eastAsia="hu-HU"/>
        </w:rPr>
        <w:tab/>
      </w:r>
      <w:r w:rsidRPr="00466939">
        <w:rPr>
          <w:i/>
          <w:lang w:val="hu-HU" w:eastAsia="hu-HU"/>
        </w:rPr>
        <w:t>…………………………</w:t>
      </w:r>
      <w:proofErr w:type="gramStart"/>
      <w:r w:rsidRPr="00466939">
        <w:rPr>
          <w:i/>
          <w:lang w:val="hu-HU" w:eastAsia="hu-HU"/>
        </w:rPr>
        <w:t>…….</w:t>
      </w:r>
      <w:proofErr w:type="gramEnd"/>
      <w:r w:rsidRPr="00466939">
        <w:rPr>
          <w:i/>
          <w:lang w:val="hu-HU" w:eastAsia="hu-HU"/>
        </w:rPr>
        <w:t>.</w:t>
      </w:r>
    </w:p>
    <w:p w14:paraId="12CA310C" w14:textId="77777777" w:rsidR="000F699C" w:rsidRPr="00466939" w:rsidRDefault="00A64A7C" w:rsidP="00AB48B3">
      <w:pPr>
        <w:tabs>
          <w:tab w:val="left" w:pos="2835"/>
        </w:tabs>
        <w:spacing w:before="120" w:after="120" w:line="276" w:lineRule="auto"/>
        <w:jc w:val="both"/>
        <w:rPr>
          <w:i/>
          <w:lang w:val="hu-HU" w:eastAsia="hu-HU"/>
        </w:rPr>
      </w:pPr>
      <w:r w:rsidRPr="00466939">
        <w:rPr>
          <w:i/>
          <w:lang w:val="hu-HU" w:eastAsia="hu-HU"/>
        </w:rPr>
        <w:t>e-mail cím</w:t>
      </w:r>
      <w:r w:rsidR="000F699C" w:rsidRPr="00466939">
        <w:rPr>
          <w:i/>
          <w:lang w:val="hu-HU" w:eastAsia="hu-HU"/>
        </w:rPr>
        <w:t xml:space="preserve">: </w:t>
      </w:r>
      <w:r w:rsidR="000F699C" w:rsidRPr="00466939">
        <w:rPr>
          <w:i/>
          <w:lang w:val="hu-HU" w:eastAsia="hu-HU"/>
        </w:rPr>
        <w:tab/>
      </w:r>
      <w:r w:rsidR="004B594B" w:rsidRPr="00466939">
        <w:rPr>
          <w:i/>
          <w:lang w:val="hu-HU" w:eastAsia="hu-HU"/>
        </w:rPr>
        <w:t>…………………………</w:t>
      </w:r>
      <w:proofErr w:type="gramStart"/>
      <w:r w:rsidR="004B594B" w:rsidRPr="00466939">
        <w:rPr>
          <w:i/>
          <w:lang w:val="hu-HU" w:eastAsia="hu-HU"/>
        </w:rPr>
        <w:t>…….</w:t>
      </w:r>
      <w:proofErr w:type="gramEnd"/>
      <w:r w:rsidR="004B594B" w:rsidRPr="00466939">
        <w:rPr>
          <w:i/>
          <w:lang w:val="hu-HU" w:eastAsia="hu-HU"/>
        </w:rPr>
        <w:t>.</w:t>
      </w:r>
    </w:p>
    <w:p w14:paraId="71C846B0" w14:textId="77777777" w:rsidR="000F699C" w:rsidRPr="00466939" w:rsidRDefault="00A64A7C" w:rsidP="00AB48B3">
      <w:pPr>
        <w:tabs>
          <w:tab w:val="left" w:pos="2835"/>
        </w:tabs>
        <w:spacing w:before="120" w:after="120" w:line="276" w:lineRule="auto"/>
        <w:jc w:val="both"/>
        <w:rPr>
          <w:i/>
          <w:lang w:val="hu-HU" w:eastAsia="hu-HU"/>
        </w:rPr>
      </w:pPr>
      <w:r w:rsidRPr="00466939">
        <w:rPr>
          <w:i/>
          <w:lang w:val="hu-HU" w:eastAsia="hu-HU"/>
        </w:rPr>
        <w:t>telefonszám</w:t>
      </w:r>
      <w:r w:rsidR="000F699C" w:rsidRPr="00466939">
        <w:rPr>
          <w:i/>
          <w:lang w:val="hu-HU" w:eastAsia="hu-HU"/>
        </w:rPr>
        <w:t>:</w:t>
      </w:r>
      <w:r w:rsidR="000F699C" w:rsidRPr="00466939">
        <w:rPr>
          <w:i/>
          <w:lang w:val="hu-HU" w:eastAsia="hu-HU"/>
        </w:rPr>
        <w:tab/>
      </w:r>
      <w:r w:rsidR="00752AA8" w:rsidRPr="00466939">
        <w:rPr>
          <w:i/>
          <w:lang w:val="hu-HU" w:eastAsia="hu-HU"/>
        </w:rPr>
        <w:t>…………………………</w:t>
      </w:r>
      <w:proofErr w:type="gramStart"/>
      <w:r w:rsidR="00752AA8" w:rsidRPr="00466939">
        <w:rPr>
          <w:i/>
          <w:lang w:val="hu-HU" w:eastAsia="hu-HU"/>
        </w:rPr>
        <w:t>…….</w:t>
      </w:r>
      <w:proofErr w:type="gramEnd"/>
      <w:r w:rsidR="00752AA8" w:rsidRPr="00466939">
        <w:rPr>
          <w:i/>
          <w:lang w:val="hu-HU" w:eastAsia="hu-HU"/>
        </w:rPr>
        <w:t>.</w:t>
      </w:r>
      <w:r w:rsidR="000F699C" w:rsidRPr="00466939">
        <w:rPr>
          <w:i/>
          <w:lang w:val="hu-HU" w:eastAsia="hu-HU"/>
        </w:rPr>
        <w:t>)</w:t>
      </w:r>
    </w:p>
    <w:p w14:paraId="2B4CCA05" w14:textId="77777777" w:rsidR="000F699C" w:rsidRPr="00466939" w:rsidRDefault="000F699C" w:rsidP="00AB48B3">
      <w:pPr>
        <w:tabs>
          <w:tab w:val="left" w:pos="2920"/>
        </w:tabs>
        <w:spacing w:before="120" w:after="120" w:line="276" w:lineRule="auto"/>
        <w:jc w:val="both"/>
        <w:rPr>
          <w:rFonts w:eastAsia="Calibri"/>
          <w:lang w:val="hu-HU" w:eastAsia="hu-HU"/>
        </w:rPr>
      </w:pPr>
      <w:r w:rsidRPr="00466939">
        <w:rPr>
          <w:rFonts w:eastAsia="Calibri"/>
          <w:lang w:val="hu-HU" w:eastAsia="hu-HU"/>
        </w:rPr>
        <w:t xml:space="preserve">mint </w:t>
      </w:r>
      <w:r w:rsidR="00A64A7C" w:rsidRPr="00466939">
        <w:rPr>
          <w:rFonts w:eastAsia="Calibri"/>
          <w:lang w:val="hu-HU" w:eastAsia="hu-HU"/>
        </w:rPr>
        <w:t>Felhasználó</w:t>
      </w:r>
      <w:r w:rsidRPr="00466939">
        <w:rPr>
          <w:rFonts w:eastAsia="Calibri"/>
          <w:lang w:val="hu-HU" w:eastAsia="hu-HU"/>
        </w:rPr>
        <w:t xml:space="preserve"> (a továbbiakban: </w:t>
      </w:r>
      <w:r w:rsidR="00A64A7C" w:rsidRPr="00466939">
        <w:rPr>
          <w:rFonts w:eastAsia="Calibri"/>
          <w:i/>
          <w:lang w:val="hu-HU" w:eastAsia="hu-HU"/>
        </w:rPr>
        <w:t>Felhasználó</w:t>
      </w:r>
      <w:r w:rsidRPr="00466939">
        <w:rPr>
          <w:rFonts w:eastAsia="Calibri"/>
          <w:lang w:val="hu-HU" w:eastAsia="hu-HU"/>
        </w:rPr>
        <w:t xml:space="preserve">), </w:t>
      </w:r>
    </w:p>
    <w:p w14:paraId="3BEEF3DD" w14:textId="77777777" w:rsidR="00752AA8" w:rsidRPr="00466939" w:rsidRDefault="000F699C" w:rsidP="00AB48B3">
      <w:pPr>
        <w:jc w:val="both"/>
        <w:rPr>
          <w:rFonts w:eastAsia="Calibri"/>
          <w:lang w:val="hu-HU" w:eastAsia="hu-HU"/>
        </w:rPr>
      </w:pPr>
      <w:r w:rsidRPr="00466939">
        <w:rPr>
          <w:rFonts w:eastAsia="Calibri"/>
          <w:lang w:val="hu-HU" w:eastAsia="hu-HU"/>
        </w:rPr>
        <w:t xml:space="preserve">– </w:t>
      </w:r>
      <w:r w:rsidR="00C94D7F" w:rsidRPr="00466939">
        <w:rPr>
          <w:rFonts w:eastAsia="Calibri"/>
          <w:lang w:val="hu-HU" w:eastAsia="hu-HU"/>
        </w:rPr>
        <w:t>Jogtulajdonos</w:t>
      </w:r>
      <w:r w:rsidRPr="00466939">
        <w:rPr>
          <w:rFonts w:eastAsia="Calibri"/>
          <w:lang w:val="hu-HU" w:eastAsia="hu-HU"/>
        </w:rPr>
        <w:t xml:space="preserve"> és </w:t>
      </w:r>
      <w:r w:rsidR="00C94D7F" w:rsidRPr="00466939">
        <w:rPr>
          <w:rFonts w:eastAsia="Calibri"/>
          <w:lang w:val="hu-HU" w:eastAsia="hu-HU"/>
        </w:rPr>
        <w:t>Felhasználó</w:t>
      </w:r>
      <w:r w:rsidRPr="00466939">
        <w:rPr>
          <w:rFonts w:eastAsia="Calibri"/>
          <w:lang w:val="hu-HU" w:eastAsia="hu-HU"/>
        </w:rPr>
        <w:t xml:space="preserve"> a továbbiakban együttesen: </w:t>
      </w:r>
      <w:r w:rsidRPr="00466939">
        <w:rPr>
          <w:rFonts w:eastAsia="Calibri"/>
          <w:i/>
          <w:iCs/>
          <w:lang w:val="hu-HU" w:eastAsia="hu-HU"/>
        </w:rPr>
        <w:t>Felek</w:t>
      </w:r>
      <w:r w:rsidRPr="00466939">
        <w:rPr>
          <w:rFonts w:eastAsia="Calibri"/>
          <w:lang w:val="hu-HU" w:eastAsia="hu-HU"/>
        </w:rPr>
        <w:t xml:space="preserve"> – között, a keltezés szerinti helyen és időpontban, az alábbi feltételekkel:</w:t>
      </w:r>
    </w:p>
    <w:p w14:paraId="590E3B27" w14:textId="77777777" w:rsidR="00A64A7C" w:rsidRPr="00466939" w:rsidRDefault="00752AA8" w:rsidP="000F3A63">
      <w:pPr>
        <w:spacing w:before="240" w:after="240"/>
        <w:jc w:val="both"/>
        <w:rPr>
          <w:rFonts w:eastAsia="Calibri"/>
          <w:b/>
          <w:lang w:val="hu-HU" w:eastAsia="hu-HU"/>
        </w:rPr>
      </w:pPr>
      <w:r w:rsidRPr="00466939">
        <w:rPr>
          <w:rFonts w:eastAsia="Calibri"/>
          <w:b/>
          <w:lang w:val="hu-HU" w:eastAsia="hu-HU"/>
        </w:rPr>
        <w:t>1. Megállapodás tárgya:</w:t>
      </w:r>
    </w:p>
    <w:p w14:paraId="12002727" w14:textId="77777777" w:rsidR="001B791C" w:rsidRPr="00466939" w:rsidRDefault="004C06EA" w:rsidP="00AB48B3">
      <w:pPr>
        <w:spacing w:after="240"/>
        <w:ind w:left="425"/>
        <w:jc w:val="both"/>
        <w:rPr>
          <w:lang w:val="hu-HU"/>
        </w:rPr>
      </w:pPr>
      <w:r w:rsidRPr="00466939">
        <w:rPr>
          <w:lang w:val="hu-HU"/>
        </w:rPr>
        <w:t>Felek jelen okirat aláírásával megállapodnak, hogy a</w:t>
      </w:r>
      <w:r w:rsidR="00235A8C" w:rsidRPr="00466939">
        <w:rPr>
          <w:lang w:val="hu-HU"/>
        </w:rPr>
        <w:t xml:space="preserve"> KSH Népességtudományi Ku</w:t>
      </w:r>
      <w:r w:rsidR="00686CC0" w:rsidRPr="00466939">
        <w:rPr>
          <w:lang w:val="hu-HU"/>
        </w:rPr>
        <w:t>tató</w:t>
      </w:r>
      <w:r w:rsidR="00335555" w:rsidRPr="00466939">
        <w:rPr>
          <w:lang w:val="hu-HU"/>
        </w:rPr>
        <w:t xml:space="preserve"> I</w:t>
      </w:r>
      <w:r w:rsidR="00686CC0" w:rsidRPr="00466939">
        <w:rPr>
          <w:lang w:val="hu-HU"/>
        </w:rPr>
        <w:t>ntézet, mint az „Életünk f</w:t>
      </w:r>
      <w:r w:rsidR="00235A8C" w:rsidRPr="00466939">
        <w:rPr>
          <w:lang w:val="hu-HU"/>
        </w:rPr>
        <w:t xml:space="preserve">ordulópontjai” társadalmi-demográfiai adatfelvétel adatainak tulajdonosa, a fent említett adatfelvétel adatállományából </w:t>
      </w:r>
      <w:r w:rsidR="0004100E" w:rsidRPr="00466939">
        <w:rPr>
          <w:lang w:val="hu-HU"/>
        </w:rPr>
        <w:t xml:space="preserve">a(z) …………………………………………………… </w:t>
      </w:r>
      <w:r w:rsidR="00235A8C" w:rsidRPr="00466939">
        <w:rPr>
          <w:lang w:val="hu-HU"/>
        </w:rPr>
        <w:t>adatfelvételi hullám(ok) adatállományát</w:t>
      </w:r>
      <w:r w:rsidR="002F7B73" w:rsidRPr="00466939">
        <w:rPr>
          <w:lang w:val="hu-HU"/>
        </w:rPr>
        <w:t xml:space="preserve"> díjmentesen</w:t>
      </w:r>
      <w:r w:rsidR="00235A8C" w:rsidRPr="00466939">
        <w:rPr>
          <w:lang w:val="hu-HU"/>
        </w:rPr>
        <w:t xml:space="preserve"> átadja Felhaszn</w:t>
      </w:r>
      <w:r w:rsidR="001B791C" w:rsidRPr="00466939">
        <w:rPr>
          <w:lang w:val="hu-HU"/>
        </w:rPr>
        <w:t xml:space="preserve">áló </w:t>
      </w:r>
      <w:r w:rsidR="00235A8C" w:rsidRPr="00466939">
        <w:rPr>
          <w:lang w:val="hu-HU"/>
        </w:rPr>
        <w:t>részére.</w:t>
      </w:r>
    </w:p>
    <w:p w14:paraId="2AEAD0CC" w14:textId="1525AC57" w:rsidR="00235A8C" w:rsidRPr="00466939" w:rsidRDefault="001B791C" w:rsidP="000F3A63">
      <w:pPr>
        <w:spacing w:after="240"/>
        <w:ind w:left="284" w:hanging="284"/>
        <w:jc w:val="both"/>
        <w:rPr>
          <w:lang w:val="hu-HU"/>
        </w:rPr>
      </w:pPr>
      <w:r w:rsidRPr="00466939">
        <w:rPr>
          <w:lang w:val="hu-HU"/>
        </w:rPr>
        <w:br w:type="page"/>
      </w:r>
      <w:r w:rsidR="00752AA8" w:rsidRPr="003D22F3">
        <w:rPr>
          <w:b/>
          <w:lang w:val="hu-HU"/>
        </w:rPr>
        <w:lastRenderedPageBreak/>
        <w:t>2.</w:t>
      </w:r>
      <w:r w:rsidRPr="003D22F3">
        <w:rPr>
          <w:b/>
          <w:lang w:val="hu-HU"/>
        </w:rPr>
        <w:tab/>
      </w:r>
      <w:r w:rsidR="00235A8C" w:rsidRPr="003D22F3">
        <w:rPr>
          <w:b/>
          <w:lang w:val="hu-HU"/>
        </w:rPr>
        <w:t>A Felhasználó által vizsgálni szándékozott téma rövid ismertetése:</w:t>
      </w:r>
      <w:r w:rsidR="00235A8C" w:rsidRPr="003D22F3">
        <w:rPr>
          <w:lang w:val="hu-HU"/>
        </w:rPr>
        <w:t xml:space="preserve"> ……………………………………………………………………………………………</w:t>
      </w:r>
      <w:proofErr w:type="gramStart"/>
      <w:r w:rsidR="00235A8C" w:rsidRPr="003D22F3">
        <w:rPr>
          <w:lang w:val="hu-HU"/>
        </w:rPr>
        <w:t>……</w:t>
      </w:r>
      <w:r w:rsidR="00FC1B90" w:rsidRPr="003D22F3">
        <w:rPr>
          <w:lang w:val="hu-HU"/>
        </w:rPr>
        <w:t>.</w:t>
      </w:r>
      <w:proofErr w:type="gramEnd"/>
      <w:r w:rsidR="00235A8C" w:rsidRPr="003D22F3">
        <w:rPr>
          <w:lang w:val="hu-HU"/>
        </w:rPr>
        <w:t>…………………………………………………………………………………………………</w:t>
      </w:r>
      <w:r w:rsidR="00FC1B90" w:rsidRPr="003D22F3">
        <w:rPr>
          <w:lang w:val="hu-HU"/>
        </w:rPr>
        <w:t>.</w:t>
      </w:r>
      <w:r w:rsidR="00235A8C" w:rsidRPr="003D22F3">
        <w:rPr>
          <w:lang w:val="hu-HU"/>
        </w:rPr>
        <w:t>…………………………………………………………………………………………………</w:t>
      </w:r>
      <w:r w:rsidR="00FC1B90" w:rsidRPr="003D22F3">
        <w:rPr>
          <w:lang w:val="hu-HU"/>
        </w:rPr>
        <w:t>.</w:t>
      </w:r>
      <w:r w:rsidR="00235A8C" w:rsidRPr="003D22F3">
        <w:rPr>
          <w:lang w:val="hu-HU"/>
        </w:rPr>
        <w:t>………………………………………………………………</w:t>
      </w:r>
      <w:r w:rsidR="00FC1B90" w:rsidRPr="003D22F3">
        <w:rPr>
          <w:lang w:val="hu-HU"/>
        </w:rPr>
        <w:t>…………………………………</w:t>
      </w:r>
      <w:r w:rsidR="003D22F3">
        <w:rPr>
          <w:lang w:val="hu-HU"/>
        </w:rPr>
        <w:t>…………………………………………………………………………………….</w:t>
      </w:r>
    </w:p>
    <w:p w14:paraId="0D58DC7B" w14:textId="77777777" w:rsidR="00752AA8" w:rsidRPr="00466939" w:rsidRDefault="00752AA8" w:rsidP="00AB48B3">
      <w:pPr>
        <w:pStyle w:val="Szvegtrzs2"/>
        <w:jc w:val="both"/>
        <w:rPr>
          <w:b/>
          <w:szCs w:val="24"/>
        </w:rPr>
      </w:pPr>
      <w:r w:rsidRPr="00466939">
        <w:rPr>
          <w:b/>
          <w:szCs w:val="24"/>
        </w:rPr>
        <w:t>3. Jogok és kötelezettségek:</w:t>
      </w:r>
    </w:p>
    <w:p w14:paraId="250F2145" w14:textId="77777777" w:rsidR="008C62E0" w:rsidRPr="00466939" w:rsidRDefault="00DA5626" w:rsidP="000F3A63">
      <w:pPr>
        <w:pStyle w:val="Szvegtrzsbehzssal"/>
        <w:spacing w:after="240"/>
        <w:ind w:left="425" w:hanging="425"/>
        <w:rPr>
          <w:szCs w:val="24"/>
        </w:rPr>
      </w:pPr>
      <w:r w:rsidRPr="00466939">
        <w:rPr>
          <w:szCs w:val="24"/>
        </w:rPr>
        <w:t xml:space="preserve">3.1. </w:t>
      </w:r>
      <w:r w:rsidR="00594299" w:rsidRPr="00466939">
        <w:rPr>
          <w:szCs w:val="24"/>
        </w:rPr>
        <w:tab/>
      </w:r>
      <w:r w:rsidR="00235A8C" w:rsidRPr="00466939">
        <w:rPr>
          <w:szCs w:val="24"/>
        </w:rPr>
        <w:t>A kapott adatbázist</w:t>
      </w:r>
      <w:r w:rsidR="0004100E" w:rsidRPr="00466939">
        <w:rPr>
          <w:szCs w:val="24"/>
        </w:rPr>
        <w:t xml:space="preserve"> vagy </w:t>
      </w:r>
      <w:r w:rsidR="00235A8C" w:rsidRPr="00466939">
        <w:rPr>
          <w:szCs w:val="24"/>
        </w:rPr>
        <w:t xml:space="preserve">annak valamely részét </w:t>
      </w:r>
      <w:r w:rsidR="00243BC0" w:rsidRPr="00466939">
        <w:rPr>
          <w:szCs w:val="24"/>
        </w:rPr>
        <w:t xml:space="preserve">vagy az abból készített kimutatásokat és anyagokat </w:t>
      </w:r>
      <w:r w:rsidR="00235A8C" w:rsidRPr="00466939">
        <w:rPr>
          <w:szCs w:val="24"/>
        </w:rPr>
        <w:t xml:space="preserve">a Felhasználó </w:t>
      </w:r>
      <w:r w:rsidR="002F7B73" w:rsidRPr="00466939">
        <w:rPr>
          <w:szCs w:val="24"/>
        </w:rPr>
        <w:t xml:space="preserve">harmadik személynek </w:t>
      </w:r>
      <w:r w:rsidR="0004100E" w:rsidRPr="00466939">
        <w:rPr>
          <w:szCs w:val="24"/>
        </w:rPr>
        <w:t xml:space="preserve">semmilyen formában </w:t>
      </w:r>
      <w:r w:rsidR="00235A8C" w:rsidRPr="00466939">
        <w:rPr>
          <w:szCs w:val="24"/>
        </w:rPr>
        <w:t xml:space="preserve">nem értékesítheti, nem adhatja tovább, illetve köteles </w:t>
      </w:r>
      <w:r w:rsidR="002F7B73" w:rsidRPr="00466939">
        <w:rPr>
          <w:szCs w:val="24"/>
        </w:rPr>
        <w:t>mindent megtenni annak érdekében</w:t>
      </w:r>
      <w:r w:rsidR="00235A8C" w:rsidRPr="00466939">
        <w:rPr>
          <w:szCs w:val="24"/>
        </w:rPr>
        <w:t>, hogy a tulajdonában lévő adatbázishoz más</w:t>
      </w:r>
      <w:r w:rsidR="00100BD7" w:rsidRPr="00466939">
        <w:rPr>
          <w:szCs w:val="24"/>
        </w:rPr>
        <w:t xml:space="preserve"> ne férjen hozzá.</w:t>
      </w:r>
    </w:p>
    <w:p w14:paraId="507C0B96" w14:textId="65C5BDB5" w:rsidR="00235A8C" w:rsidRPr="00466939" w:rsidRDefault="008C62E0" w:rsidP="000F3A63">
      <w:pPr>
        <w:pStyle w:val="Szvegtrzsbehzssal"/>
        <w:spacing w:after="240"/>
        <w:ind w:left="425" w:hanging="425"/>
        <w:rPr>
          <w:szCs w:val="24"/>
        </w:rPr>
      </w:pPr>
      <w:r w:rsidRPr="00466939">
        <w:rPr>
          <w:szCs w:val="24"/>
        </w:rPr>
        <w:t>3.</w:t>
      </w:r>
      <w:r w:rsidR="00AB48B3" w:rsidRPr="00466939">
        <w:rPr>
          <w:szCs w:val="24"/>
        </w:rPr>
        <w:t>2</w:t>
      </w:r>
      <w:r w:rsidRPr="00466939">
        <w:rPr>
          <w:szCs w:val="24"/>
        </w:rPr>
        <w:t>. A Felhasználó tudomásul veszi, hogy a részére átadott adatokat csak és kizárólag ő jogosult felhasználni a jelen megállapodás 2. pontjában részletezett kutatási témával összefüggésben</w:t>
      </w:r>
      <w:r w:rsidR="004077FB" w:rsidRPr="00466939">
        <w:rPr>
          <w:szCs w:val="24"/>
        </w:rPr>
        <w:t>. Felek kifejezetten kikötik, hogy amennyiben az átadott adatokat több személy kívánja ugyanazon témával összefüggésben felhasználni, úgy valamennyi személy köteles, a Jogtulajdonossal külön adatfelhasználási megállapodást kötni</w:t>
      </w:r>
      <w:r w:rsidR="00243BC0" w:rsidRPr="00466939">
        <w:rPr>
          <w:szCs w:val="24"/>
        </w:rPr>
        <w:t xml:space="preserve">. </w:t>
      </w:r>
    </w:p>
    <w:p w14:paraId="41D56A2F" w14:textId="77777777" w:rsidR="00235A8C" w:rsidRPr="00466939" w:rsidRDefault="00594299" w:rsidP="00AB48B3">
      <w:pPr>
        <w:pStyle w:val="Szvegtrzsbehzssal"/>
        <w:ind w:left="426" w:hanging="426"/>
        <w:rPr>
          <w:szCs w:val="24"/>
        </w:rPr>
      </w:pPr>
      <w:r w:rsidRPr="00466939">
        <w:rPr>
          <w:szCs w:val="24"/>
        </w:rPr>
        <w:t>3.</w:t>
      </w:r>
      <w:r w:rsidR="00AB48B3" w:rsidRPr="00466939">
        <w:rPr>
          <w:szCs w:val="24"/>
        </w:rPr>
        <w:t>3</w:t>
      </w:r>
      <w:r w:rsidRPr="00466939">
        <w:rPr>
          <w:szCs w:val="24"/>
        </w:rPr>
        <w:t xml:space="preserve">. </w:t>
      </w:r>
      <w:r w:rsidRPr="00466939">
        <w:rPr>
          <w:szCs w:val="24"/>
        </w:rPr>
        <w:tab/>
      </w:r>
      <w:r w:rsidR="00235A8C" w:rsidRPr="00466939">
        <w:rPr>
          <w:szCs w:val="24"/>
        </w:rPr>
        <w:t xml:space="preserve">A Felhasználó a </w:t>
      </w:r>
      <w:r w:rsidR="00214741" w:rsidRPr="00466939">
        <w:rPr>
          <w:szCs w:val="24"/>
        </w:rPr>
        <w:t xml:space="preserve">részére átadásra került </w:t>
      </w:r>
      <w:r w:rsidR="00235A8C" w:rsidRPr="00466939">
        <w:rPr>
          <w:szCs w:val="24"/>
        </w:rPr>
        <w:t>adat</w:t>
      </w:r>
      <w:r w:rsidR="00214741" w:rsidRPr="00466939">
        <w:rPr>
          <w:szCs w:val="24"/>
        </w:rPr>
        <w:t>ok</w:t>
      </w:r>
      <w:r w:rsidR="00235A8C" w:rsidRPr="00466939">
        <w:rPr>
          <w:szCs w:val="24"/>
        </w:rPr>
        <w:t xml:space="preserve"> felhasználásával írt publikáció</w:t>
      </w:r>
      <w:r w:rsidR="00214741" w:rsidRPr="00466939">
        <w:rPr>
          <w:szCs w:val="24"/>
        </w:rPr>
        <w:t>ról</w:t>
      </w:r>
      <w:r w:rsidR="001B791C" w:rsidRPr="00466939">
        <w:rPr>
          <w:szCs w:val="24"/>
        </w:rPr>
        <w:t xml:space="preserve"> köteles </w:t>
      </w:r>
      <w:r w:rsidR="00214741" w:rsidRPr="00466939">
        <w:rPr>
          <w:szCs w:val="24"/>
        </w:rPr>
        <w:t xml:space="preserve">a </w:t>
      </w:r>
      <w:r w:rsidR="001B791C" w:rsidRPr="00466939">
        <w:rPr>
          <w:szCs w:val="24"/>
        </w:rPr>
        <w:t>KSH NKI-t</w:t>
      </w:r>
      <w:r w:rsidR="00214741" w:rsidRPr="00466939">
        <w:rPr>
          <w:szCs w:val="24"/>
        </w:rPr>
        <w:t xml:space="preserve"> </w:t>
      </w:r>
      <w:r w:rsidR="004000BD" w:rsidRPr="00466939">
        <w:rPr>
          <w:szCs w:val="24"/>
        </w:rPr>
        <w:t>értesíteni, továbbá valamennyi publikációban</w:t>
      </w:r>
      <w:r w:rsidR="00235A8C" w:rsidRPr="00466939">
        <w:rPr>
          <w:szCs w:val="24"/>
        </w:rPr>
        <w:t xml:space="preserve"> a</w:t>
      </w:r>
      <w:r w:rsidR="001B791C" w:rsidRPr="00466939">
        <w:rPr>
          <w:szCs w:val="24"/>
        </w:rPr>
        <w:t>z</w:t>
      </w:r>
      <w:r w:rsidR="00235A8C" w:rsidRPr="00466939">
        <w:rPr>
          <w:szCs w:val="24"/>
        </w:rPr>
        <w:t xml:space="preserve"> </w:t>
      </w:r>
      <w:r w:rsidR="00214741" w:rsidRPr="00466939">
        <w:rPr>
          <w:szCs w:val="24"/>
        </w:rPr>
        <w:t xml:space="preserve">alábbi </w:t>
      </w:r>
      <w:r w:rsidR="00235A8C" w:rsidRPr="00466939">
        <w:rPr>
          <w:szCs w:val="24"/>
        </w:rPr>
        <w:t>hivatkozást köteles feltüntetni:</w:t>
      </w:r>
    </w:p>
    <w:p w14:paraId="33576E1C" w14:textId="77777777" w:rsidR="00214741" w:rsidRPr="00466939" w:rsidRDefault="00235A8C" w:rsidP="000F3A63">
      <w:pPr>
        <w:pStyle w:val="NormlWeb"/>
        <w:spacing w:before="240" w:beforeAutospacing="0" w:after="240" w:afterAutospacing="0"/>
        <w:ind w:left="720" w:right="720"/>
        <w:jc w:val="both"/>
        <w:rPr>
          <w:i/>
          <w:iCs/>
        </w:rPr>
      </w:pPr>
      <w:r w:rsidRPr="00466939">
        <w:rPr>
          <w:i/>
          <w:iCs/>
        </w:rPr>
        <w:t>Az adatok forrása: KSH Népességtudományi Kutató</w:t>
      </w:r>
      <w:r w:rsidR="00335555" w:rsidRPr="00466939">
        <w:rPr>
          <w:i/>
          <w:iCs/>
        </w:rPr>
        <w:t xml:space="preserve"> I</w:t>
      </w:r>
      <w:r w:rsidRPr="00466939">
        <w:rPr>
          <w:i/>
          <w:iCs/>
        </w:rPr>
        <w:t xml:space="preserve">ntézet, „Életünk fordulópontjai” társadalmi-demográfiai alapfelvétel </w:t>
      </w:r>
      <w:r w:rsidR="00FC1B90" w:rsidRPr="00466939">
        <w:rPr>
          <w:i/>
          <w:iCs/>
        </w:rPr>
        <w:t>…………….</w:t>
      </w:r>
      <w:r w:rsidRPr="00466939">
        <w:rPr>
          <w:i/>
          <w:iCs/>
        </w:rPr>
        <w:t xml:space="preserve"> adatfelvételi hullám.</w:t>
      </w:r>
    </w:p>
    <w:p w14:paraId="3C27E444" w14:textId="173C8C88" w:rsidR="00594299" w:rsidRPr="00466939" w:rsidRDefault="00594299" w:rsidP="000F3A63">
      <w:pPr>
        <w:pStyle w:val="Szvegtrzsbehzssal"/>
        <w:spacing w:after="240"/>
        <w:ind w:left="425" w:hanging="425"/>
        <w:rPr>
          <w:szCs w:val="24"/>
        </w:rPr>
      </w:pPr>
      <w:r w:rsidRPr="00466939">
        <w:rPr>
          <w:szCs w:val="24"/>
        </w:rPr>
        <w:t>3.</w:t>
      </w:r>
      <w:r w:rsidR="00AB48B3" w:rsidRPr="00466939">
        <w:rPr>
          <w:szCs w:val="24"/>
        </w:rPr>
        <w:t>4</w:t>
      </w:r>
      <w:r w:rsidRPr="00466939">
        <w:rPr>
          <w:szCs w:val="24"/>
        </w:rPr>
        <w:t>.</w:t>
      </w:r>
      <w:r w:rsidRPr="00466939">
        <w:rPr>
          <w:szCs w:val="24"/>
        </w:rPr>
        <w:tab/>
      </w:r>
      <w:r w:rsidR="00235A8C" w:rsidRPr="00466939">
        <w:rPr>
          <w:szCs w:val="24"/>
        </w:rPr>
        <w:t xml:space="preserve">A Felhasználó </w:t>
      </w:r>
      <w:r w:rsidR="005F127A" w:rsidRPr="00466939">
        <w:rPr>
          <w:szCs w:val="24"/>
        </w:rPr>
        <w:t xml:space="preserve">köteles </w:t>
      </w:r>
      <w:r w:rsidR="00235A8C" w:rsidRPr="00466939">
        <w:rPr>
          <w:szCs w:val="24"/>
        </w:rPr>
        <w:t>az adatok alapján készített publikációiból</w:t>
      </w:r>
      <w:r w:rsidR="005F127A" w:rsidRPr="00466939">
        <w:rPr>
          <w:szCs w:val="24"/>
        </w:rPr>
        <w:t>,</w:t>
      </w:r>
      <w:r w:rsidR="00235A8C" w:rsidRPr="00466939">
        <w:rPr>
          <w:szCs w:val="24"/>
        </w:rPr>
        <w:t xml:space="preserve"> </w:t>
      </w:r>
      <w:r w:rsidR="005F127A" w:rsidRPr="00466939">
        <w:rPr>
          <w:szCs w:val="24"/>
        </w:rPr>
        <w:t xml:space="preserve">legkésőbb a publikációt követő </w:t>
      </w:r>
      <w:r w:rsidR="00A81F6E" w:rsidRPr="00466939">
        <w:rPr>
          <w:szCs w:val="24"/>
        </w:rPr>
        <w:t>3</w:t>
      </w:r>
      <w:r w:rsidR="005F127A" w:rsidRPr="00466939">
        <w:rPr>
          <w:szCs w:val="24"/>
        </w:rPr>
        <w:t xml:space="preserve">0 (harminc) napon belül </w:t>
      </w:r>
      <w:r w:rsidR="00235A8C" w:rsidRPr="00466939">
        <w:rPr>
          <w:szCs w:val="24"/>
        </w:rPr>
        <w:t>egy példányt a Népességtudományi Kutató</w:t>
      </w:r>
      <w:r w:rsidR="00335555" w:rsidRPr="00466939">
        <w:rPr>
          <w:szCs w:val="24"/>
        </w:rPr>
        <w:t xml:space="preserve"> I</w:t>
      </w:r>
      <w:r w:rsidR="00235A8C" w:rsidRPr="00466939">
        <w:rPr>
          <w:szCs w:val="24"/>
        </w:rPr>
        <w:t>ntézet könyvtárának (1024 Budapest, Buday László u. 1-3.) adományozni</w:t>
      </w:r>
      <w:r w:rsidR="00243BC0" w:rsidRPr="00466939">
        <w:rPr>
          <w:szCs w:val="24"/>
        </w:rPr>
        <w:t xml:space="preserve"> </w:t>
      </w:r>
      <w:r w:rsidR="00243BC0" w:rsidRPr="00466939">
        <w:t xml:space="preserve">vagy azt elektronikusan megküldeni az </w:t>
      </w:r>
      <w:hyperlink r:id="rId8" w:history="1">
        <w:r w:rsidR="00243BC0" w:rsidRPr="00466939">
          <w:rPr>
            <w:rStyle w:val="Hiperhivatkozs"/>
          </w:rPr>
          <w:t>nki@demografia.hu</w:t>
        </w:r>
      </w:hyperlink>
      <w:r w:rsidR="00243BC0" w:rsidRPr="00466939">
        <w:t xml:space="preserve"> email címre</w:t>
      </w:r>
      <w:r w:rsidR="005F127A" w:rsidRPr="00466939">
        <w:rPr>
          <w:szCs w:val="24"/>
        </w:rPr>
        <w:t>.</w:t>
      </w:r>
    </w:p>
    <w:p w14:paraId="616CD21A" w14:textId="77777777" w:rsidR="00235A8C" w:rsidRPr="00466939" w:rsidRDefault="00594299" w:rsidP="000F3A63">
      <w:pPr>
        <w:pStyle w:val="Szvegtrzsbehzssal"/>
        <w:spacing w:after="240"/>
        <w:ind w:left="425" w:hanging="425"/>
        <w:rPr>
          <w:szCs w:val="24"/>
        </w:rPr>
      </w:pPr>
      <w:r w:rsidRPr="00383BC2">
        <w:rPr>
          <w:szCs w:val="24"/>
        </w:rPr>
        <w:t>3.</w:t>
      </w:r>
      <w:r w:rsidR="00055F16" w:rsidRPr="00383BC2">
        <w:rPr>
          <w:szCs w:val="24"/>
        </w:rPr>
        <w:t>5</w:t>
      </w:r>
      <w:r w:rsidRPr="00383BC2">
        <w:rPr>
          <w:szCs w:val="24"/>
        </w:rPr>
        <w:t xml:space="preserve">. </w:t>
      </w:r>
      <w:r w:rsidRPr="00383BC2">
        <w:rPr>
          <w:szCs w:val="24"/>
        </w:rPr>
        <w:tab/>
      </w:r>
      <w:r w:rsidR="00235A8C" w:rsidRPr="00383BC2">
        <w:rPr>
          <w:szCs w:val="24"/>
        </w:rPr>
        <w:t>Jelen megállapodás csupán az adatok és a hozzájuk tartozó dokumentáció átadására terjed ki, de ezen kívül nem jelent egyéb felhasználói t</w:t>
      </w:r>
      <w:r w:rsidR="00235A8C" w:rsidRPr="00466939">
        <w:rPr>
          <w:szCs w:val="24"/>
        </w:rPr>
        <w:t xml:space="preserve">ámogatást. Az adatbázishoz további felhasználói támogatás vásárolható, </w:t>
      </w:r>
      <w:r w:rsidR="002702ED" w:rsidRPr="00466939">
        <w:rPr>
          <w:szCs w:val="24"/>
        </w:rPr>
        <w:t>amely</w:t>
      </w:r>
      <w:r w:rsidR="00235A8C" w:rsidRPr="00466939">
        <w:rPr>
          <w:szCs w:val="24"/>
        </w:rPr>
        <w:t xml:space="preserve"> külön megállapodás tárgyát képezi.</w:t>
      </w:r>
    </w:p>
    <w:p w14:paraId="26C521A3" w14:textId="77777777" w:rsidR="008C62E0" w:rsidRPr="00466939" w:rsidRDefault="00594299" w:rsidP="000F3A63">
      <w:pPr>
        <w:pStyle w:val="Szvegtrzsbehzssal"/>
        <w:spacing w:after="240"/>
        <w:ind w:left="425" w:hanging="425"/>
        <w:rPr>
          <w:szCs w:val="24"/>
        </w:rPr>
      </w:pPr>
      <w:r w:rsidRPr="00466939">
        <w:rPr>
          <w:szCs w:val="24"/>
        </w:rPr>
        <w:t>3.</w:t>
      </w:r>
      <w:r w:rsidR="00AB48B3" w:rsidRPr="00466939">
        <w:rPr>
          <w:szCs w:val="24"/>
        </w:rPr>
        <w:t>6</w:t>
      </w:r>
      <w:r w:rsidRPr="00466939">
        <w:rPr>
          <w:szCs w:val="24"/>
        </w:rPr>
        <w:t xml:space="preserve">. </w:t>
      </w:r>
      <w:r w:rsidRPr="00466939">
        <w:rPr>
          <w:szCs w:val="24"/>
        </w:rPr>
        <w:tab/>
      </w:r>
      <w:r w:rsidR="00235A8C" w:rsidRPr="00466939">
        <w:rPr>
          <w:szCs w:val="24"/>
        </w:rPr>
        <w:t>Abban az esetben, ha a Felhasználó megszegi a jelen megállapodás bármely pontját, a megállapodás érvényét veszíti. Ebben az esetben a Felhasználó köteles az adatbázis minden másolatát megsemmisíteni, illetve visszajuttatni.</w:t>
      </w:r>
    </w:p>
    <w:p w14:paraId="73A83D28" w14:textId="77777777" w:rsidR="00DA5626" w:rsidRPr="00466939" w:rsidRDefault="00F61176" w:rsidP="000F3A63">
      <w:pPr>
        <w:pStyle w:val="Szvegtrzsbehzssal"/>
        <w:spacing w:after="240"/>
        <w:ind w:left="425" w:hanging="425"/>
        <w:rPr>
          <w:szCs w:val="24"/>
        </w:rPr>
      </w:pPr>
      <w:r w:rsidRPr="00466939">
        <w:rPr>
          <w:szCs w:val="24"/>
        </w:rPr>
        <w:t>3.7. A Felek rögzítik, hogy</w:t>
      </w:r>
      <w:r w:rsidR="000C0BD1" w:rsidRPr="00466939">
        <w:rPr>
          <w:szCs w:val="24"/>
        </w:rPr>
        <w:t xml:space="preserve"> jelen adatigénylést</w:t>
      </w:r>
      <w:r w:rsidRPr="00466939">
        <w:rPr>
          <w:szCs w:val="24"/>
        </w:rPr>
        <w:t xml:space="preserve"> a KSH Népességtudományi Kutató</w:t>
      </w:r>
      <w:r w:rsidR="00335555" w:rsidRPr="00466939">
        <w:rPr>
          <w:szCs w:val="24"/>
        </w:rPr>
        <w:t xml:space="preserve"> I</w:t>
      </w:r>
      <w:r w:rsidRPr="00466939">
        <w:rPr>
          <w:szCs w:val="24"/>
        </w:rPr>
        <w:t>ntézet Tudományos Tanácsa bírálja el.</w:t>
      </w:r>
    </w:p>
    <w:p w14:paraId="183F2AA9" w14:textId="29E43D40" w:rsidR="0091536E" w:rsidRPr="00466939" w:rsidRDefault="00DA5626" w:rsidP="000F3A63">
      <w:pPr>
        <w:pStyle w:val="Szvegtrzsbehzssal"/>
        <w:spacing w:after="240"/>
        <w:ind w:firstLine="0"/>
        <w:rPr>
          <w:b/>
          <w:szCs w:val="24"/>
        </w:rPr>
      </w:pPr>
      <w:r w:rsidRPr="00466939">
        <w:rPr>
          <w:b/>
          <w:szCs w:val="24"/>
        </w:rPr>
        <w:t>4. Megállapodás hatálya</w:t>
      </w:r>
      <w:r w:rsidR="007818E3">
        <w:rPr>
          <w:b/>
          <w:szCs w:val="24"/>
        </w:rPr>
        <w:t>:</w:t>
      </w:r>
    </w:p>
    <w:p w14:paraId="4A544413" w14:textId="77777777" w:rsidR="002839D2" w:rsidRPr="00466939" w:rsidRDefault="0091536E" w:rsidP="00AB48B3">
      <w:pPr>
        <w:pStyle w:val="Szvegtrzsbehzssal"/>
        <w:spacing w:after="240"/>
        <w:ind w:left="426" w:hanging="426"/>
        <w:rPr>
          <w:szCs w:val="24"/>
        </w:rPr>
      </w:pPr>
      <w:r w:rsidRPr="00466939">
        <w:rPr>
          <w:szCs w:val="24"/>
        </w:rPr>
        <w:t>4</w:t>
      </w:r>
      <w:r w:rsidR="00C77F14" w:rsidRPr="00466939">
        <w:rPr>
          <w:szCs w:val="24"/>
        </w:rPr>
        <w:t>.1.</w:t>
      </w:r>
      <w:r w:rsidR="00C77F14" w:rsidRPr="00466939">
        <w:rPr>
          <w:szCs w:val="24"/>
        </w:rPr>
        <w:tab/>
      </w:r>
      <w:r w:rsidRPr="00466939">
        <w:rPr>
          <w:szCs w:val="24"/>
        </w:rPr>
        <w:t>Felek úgy állapodnak meg, hogy jelen megállapodás annak aláírásának napján lép hatályba, és a felek között határozatlan időtartamig szól.</w:t>
      </w:r>
    </w:p>
    <w:p w14:paraId="1DC46CF6" w14:textId="340E8A48" w:rsidR="009F1FD0" w:rsidRPr="00466939" w:rsidRDefault="002839D2" w:rsidP="000F3A63">
      <w:pPr>
        <w:pStyle w:val="Szvegtrzsbehzssal"/>
        <w:spacing w:after="240"/>
        <w:ind w:left="426" w:hanging="426"/>
        <w:rPr>
          <w:szCs w:val="24"/>
        </w:rPr>
      </w:pPr>
      <w:r w:rsidRPr="00466939">
        <w:rPr>
          <w:szCs w:val="24"/>
        </w:rPr>
        <w:br w:type="page"/>
      </w:r>
      <w:r w:rsidR="00DA5626" w:rsidRPr="00466939">
        <w:rPr>
          <w:b/>
          <w:szCs w:val="24"/>
        </w:rPr>
        <w:t>5.</w:t>
      </w:r>
      <w:r w:rsidR="00C77F14" w:rsidRPr="00466939">
        <w:rPr>
          <w:b/>
          <w:szCs w:val="24"/>
        </w:rPr>
        <w:t xml:space="preserve"> </w:t>
      </w:r>
      <w:r w:rsidR="00DA5626" w:rsidRPr="00466939">
        <w:rPr>
          <w:b/>
          <w:szCs w:val="24"/>
        </w:rPr>
        <w:t>Titoktartás</w:t>
      </w:r>
      <w:r w:rsidR="007818E3">
        <w:rPr>
          <w:b/>
          <w:szCs w:val="24"/>
        </w:rPr>
        <w:t>:</w:t>
      </w:r>
    </w:p>
    <w:p w14:paraId="1394EDF7" w14:textId="77777777" w:rsidR="00600D20" w:rsidRPr="00466939" w:rsidRDefault="009F1FD0" w:rsidP="00AB48B3">
      <w:pPr>
        <w:pStyle w:val="Szvegtrzsbehzssal"/>
        <w:spacing w:after="240"/>
        <w:ind w:left="425" w:hanging="425"/>
        <w:rPr>
          <w:szCs w:val="24"/>
        </w:rPr>
      </w:pPr>
      <w:r w:rsidRPr="00466939">
        <w:rPr>
          <w:szCs w:val="24"/>
        </w:rPr>
        <w:t>5.1</w:t>
      </w:r>
      <w:r w:rsidRPr="00466939">
        <w:rPr>
          <w:szCs w:val="24"/>
        </w:rPr>
        <w:tab/>
      </w:r>
      <w:r w:rsidR="006543B5" w:rsidRPr="00466939">
        <w:rPr>
          <w:szCs w:val="24"/>
        </w:rPr>
        <w:t>Felek kötelezik magukat, hogy a jelen szerződésben meghatározott feladataik e</w:t>
      </w:r>
      <w:r w:rsidR="00745C93" w:rsidRPr="00466939">
        <w:rPr>
          <w:szCs w:val="24"/>
        </w:rPr>
        <w:t>llátása során tudomásukra jutó</w:t>
      </w:r>
      <w:r w:rsidR="006543B5" w:rsidRPr="00466939">
        <w:rPr>
          <w:szCs w:val="24"/>
        </w:rPr>
        <w:t xml:space="preserve">, a jelen szerződésre és annak ellátására vonatkozó információt, továbbá minden olyan más információt, adatot és dokumentumot, megoldást, amelyek harmadik fél részére történő átadása az érintett félre nézve közvetlenül vagy közvetve hátránnyal jár vagy járhat – időbeli korlátozás nélkül – bizalmasan, üzleti titokként kezelik, és azokat kizárólag a jelen szerződés keretein belül használják fel. Felek a jelen pont szerinti kötelezettségekről kötelesek megfelelő tájékoztatást adni érintett </w:t>
      </w:r>
      <w:proofErr w:type="spellStart"/>
      <w:r w:rsidR="006543B5" w:rsidRPr="00466939">
        <w:rPr>
          <w:szCs w:val="24"/>
        </w:rPr>
        <w:t>alkalmazottaik</w:t>
      </w:r>
      <w:proofErr w:type="spellEnd"/>
      <w:r w:rsidR="006543B5" w:rsidRPr="00466939">
        <w:rPr>
          <w:szCs w:val="24"/>
        </w:rPr>
        <w:t>, megbízottjaik és Alvállalkozóik részére.</w:t>
      </w:r>
    </w:p>
    <w:p w14:paraId="5379D2FA" w14:textId="2CDBB151" w:rsidR="00A16EE6" w:rsidRPr="00466939" w:rsidRDefault="00DA5626" w:rsidP="000F3A63">
      <w:pPr>
        <w:pStyle w:val="Szvegtrzsbehzssal"/>
        <w:spacing w:before="240" w:after="240"/>
        <w:ind w:firstLine="0"/>
        <w:rPr>
          <w:b/>
          <w:szCs w:val="24"/>
        </w:rPr>
      </w:pPr>
      <w:r w:rsidRPr="00466939">
        <w:rPr>
          <w:b/>
          <w:szCs w:val="24"/>
        </w:rPr>
        <w:t xml:space="preserve">6. </w:t>
      </w:r>
      <w:proofErr w:type="spellStart"/>
      <w:r w:rsidRPr="00466939">
        <w:rPr>
          <w:b/>
          <w:szCs w:val="24"/>
        </w:rPr>
        <w:t>Vis</w:t>
      </w:r>
      <w:proofErr w:type="spellEnd"/>
      <w:r w:rsidRPr="00466939">
        <w:rPr>
          <w:b/>
          <w:szCs w:val="24"/>
        </w:rPr>
        <w:t xml:space="preserve"> Maior</w:t>
      </w:r>
      <w:r w:rsidR="007818E3">
        <w:rPr>
          <w:b/>
          <w:szCs w:val="24"/>
        </w:rPr>
        <w:t>:</w:t>
      </w:r>
    </w:p>
    <w:p w14:paraId="039FAE25" w14:textId="77777777" w:rsidR="00A16EE6" w:rsidRPr="00466939" w:rsidRDefault="000169A6" w:rsidP="000F3A63">
      <w:pPr>
        <w:pStyle w:val="Szvegtrzsbehzssal"/>
        <w:spacing w:after="240"/>
        <w:ind w:left="425" w:hanging="425"/>
        <w:rPr>
          <w:szCs w:val="24"/>
        </w:rPr>
      </w:pPr>
      <w:r w:rsidRPr="00466939">
        <w:rPr>
          <w:szCs w:val="24"/>
        </w:rPr>
        <w:t>6</w:t>
      </w:r>
      <w:r w:rsidR="00A16EE6" w:rsidRPr="00466939">
        <w:rPr>
          <w:szCs w:val="24"/>
        </w:rPr>
        <w:t>.1</w:t>
      </w:r>
      <w:r w:rsidRPr="00466939">
        <w:rPr>
          <w:szCs w:val="24"/>
        </w:rPr>
        <w:t>.</w:t>
      </w:r>
      <w:r w:rsidR="00A16EE6" w:rsidRPr="00466939">
        <w:rPr>
          <w:szCs w:val="24"/>
        </w:rPr>
        <w:tab/>
        <w:t xml:space="preserve">A Felek nem sújthatók a szerződéstől elállással, ha a szerződésszegés </w:t>
      </w:r>
      <w:proofErr w:type="spellStart"/>
      <w:r w:rsidR="00A16EE6" w:rsidRPr="00466939">
        <w:rPr>
          <w:szCs w:val="24"/>
        </w:rPr>
        <w:t>vis</w:t>
      </w:r>
      <w:proofErr w:type="spellEnd"/>
      <w:r w:rsidR="00A16EE6" w:rsidRPr="00466939">
        <w:rPr>
          <w:szCs w:val="24"/>
        </w:rPr>
        <w:t xml:space="preserve"> maior eredménye. Jelen pont értelmezése szempontjából a </w:t>
      </w:r>
      <w:proofErr w:type="spellStart"/>
      <w:r w:rsidR="00A16EE6" w:rsidRPr="00466939">
        <w:rPr>
          <w:szCs w:val="24"/>
        </w:rPr>
        <w:t>vis</w:t>
      </w:r>
      <w:proofErr w:type="spellEnd"/>
      <w:r w:rsidR="00A16EE6" w:rsidRPr="00466939">
        <w:rPr>
          <w:szCs w:val="24"/>
        </w:rPr>
        <w:t xml:space="preserve"> maior olyan esetekre vonatkozik, mely a Felek akaratán kívül következik be, nekik fel nem róható. Ilyen esetek lehetnek pl. sztrájk, </w:t>
      </w:r>
      <w:proofErr w:type="gramStart"/>
      <w:r w:rsidR="00A16EE6" w:rsidRPr="00466939">
        <w:rPr>
          <w:szCs w:val="24"/>
        </w:rPr>
        <w:t>háború,</w:t>
      </w:r>
      <w:proofErr w:type="gramEnd"/>
      <w:r w:rsidR="00A16EE6" w:rsidRPr="00466939">
        <w:rPr>
          <w:szCs w:val="24"/>
        </w:rPr>
        <w:t xml:space="preserve"> vagy forradalom, tűzeset, árvíz, járvány, illetve ehhez kapcsolódó karantén, kijárási korlátozás vagy nemzetközi szervezet, illetőleg törvény vagy a Kormány által meghatározott bárminemű olyan intézkedés, amely a szerződés teljesítését akad</w:t>
      </w:r>
      <w:r w:rsidR="009F1FD0" w:rsidRPr="00466939">
        <w:rPr>
          <w:szCs w:val="24"/>
        </w:rPr>
        <w:t>ályozza vagy lehetetlenné teszi</w:t>
      </w:r>
      <w:r w:rsidR="00A16EE6" w:rsidRPr="00466939">
        <w:rPr>
          <w:szCs w:val="24"/>
        </w:rPr>
        <w:t>.</w:t>
      </w:r>
    </w:p>
    <w:p w14:paraId="1FE87572" w14:textId="77777777" w:rsidR="00A16EE6" w:rsidRPr="00466939" w:rsidRDefault="000169A6" w:rsidP="000F3A63">
      <w:pPr>
        <w:pStyle w:val="Szvegtrzsbehzssal"/>
        <w:spacing w:after="240"/>
        <w:ind w:left="425" w:hanging="425"/>
        <w:rPr>
          <w:szCs w:val="24"/>
        </w:rPr>
      </w:pPr>
      <w:r w:rsidRPr="00466939">
        <w:rPr>
          <w:szCs w:val="24"/>
        </w:rPr>
        <w:t>6.2.</w:t>
      </w:r>
      <w:r w:rsidRPr="00466939">
        <w:rPr>
          <w:szCs w:val="24"/>
        </w:rPr>
        <w:tab/>
      </w:r>
      <w:proofErr w:type="spellStart"/>
      <w:r w:rsidR="00A16EE6" w:rsidRPr="00466939">
        <w:rPr>
          <w:szCs w:val="24"/>
        </w:rPr>
        <w:t>Vis</w:t>
      </w:r>
      <w:proofErr w:type="spellEnd"/>
      <w:r w:rsidR="00A16EE6" w:rsidRPr="00466939">
        <w:rPr>
          <w:szCs w:val="24"/>
        </w:rPr>
        <w:t xml:space="preserve"> maiorra bármely fél csak akkor hivatkozhat, ha ajánlott levélben értesíti a másik felet a </w:t>
      </w:r>
      <w:proofErr w:type="spellStart"/>
      <w:r w:rsidR="00A16EE6" w:rsidRPr="00466939">
        <w:rPr>
          <w:szCs w:val="24"/>
        </w:rPr>
        <w:t>vis</w:t>
      </w:r>
      <w:proofErr w:type="spellEnd"/>
      <w:r w:rsidR="00A16EE6" w:rsidRPr="00466939">
        <w:rPr>
          <w:szCs w:val="24"/>
        </w:rPr>
        <w:t xml:space="preserve"> maior tényéről, okáról és valószínű időtartamáról. Amennyiben a másik fél egyéb irányú utasítást nem ad vagy – utasítási jog hiányában – egyéb irányú javaslatot nem tesz, illetve a Felek másként nem állapodnak meg, a </w:t>
      </w:r>
      <w:proofErr w:type="spellStart"/>
      <w:r w:rsidR="00A16EE6" w:rsidRPr="00466939">
        <w:rPr>
          <w:szCs w:val="24"/>
        </w:rPr>
        <w:t>vis</w:t>
      </w:r>
      <w:proofErr w:type="spellEnd"/>
      <w:r w:rsidR="00A16EE6" w:rsidRPr="00466939">
        <w:rPr>
          <w:szCs w:val="24"/>
        </w:rPr>
        <w:t xml:space="preserve"> maiorra hivatkozó félnek tovább kell teljesítenie szerződéses kötelezettségeit, amennyiben az </w:t>
      </w:r>
      <w:proofErr w:type="spellStart"/>
      <w:r w:rsidR="00A16EE6" w:rsidRPr="00466939">
        <w:rPr>
          <w:szCs w:val="24"/>
        </w:rPr>
        <w:t>ésszerűen</w:t>
      </w:r>
      <w:proofErr w:type="spellEnd"/>
      <w:r w:rsidR="00A16EE6" w:rsidRPr="00466939">
        <w:rPr>
          <w:szCs w:val="24"/>
        </w:rPr>
        <w:t xml:space="preserve"> lehetséges, és meg kell keresnie minden ésszerű alternatív módot a teljesítésre, melyet a </w:t>
      </w:r>
      <w:proofErr w:type="spellStart"/>
      <w:r w:rsidR="00A16EE6" w:rsidRPr="00466939">
        <w:rPr>
          <w:szCs w:val="24"/>
        </w:rPr>
        <w:t>vis</w:t>
      </w:r>
      <w:proofErr w:type="spellEnd"/>
      <w:r w:rsidR="00A16EE6" w:rsidRPr="00466939">
        <w:rPr>
          <w:szCs w:val="24"/>
        </w:rPr>
        <w:t xml:space="preserve"> maior esete nem gátol. Felek a tájékoztatás elmaradásából vagy késedelmes teljesítéséből eredő károkért felelnek.</w:t>
      </w:r>
    </w:p>
    <w:p w14:paraId="33EE4C24" w14:textId="77777777" w:rsidR="00A16EE6" w:rsidRPr="00466939" w:rsidRDefault="000169A6" w:rsidP="000F3A63">
      <w:pPr>
        <w:pStyle w:val="Szvegtrzsbehzssal"/>
        <w:ind w:left="426" w:hanging="426"/>
        <w:rPr>
          <w:szCs w:val="24"/>
        </w:rPr>
      </w:pPr>
      <w:r w:rsidRPr="00466939">
        <w:rPr>
          <w:szCs w:val="24"/>
        </w:rPr>
        <w:t xml:space="preserve">6.3. </w:t>
      </w:r>
      <w:r w:rsidRPr="00466939">
        <w:rPr>
          <w:szCs w:val="24"/>
        </w:rPr>
        <w:tab/>
      </w:r>
      <w:r w:rsidR="00A16EE6" w:rsidRPr="00466939">
        <w:rPr>
          <w:szCs w:val="24"/>
        </w:rPr>
        <w:t xml:space="preserve">Amennyiben a </w:t>
      </w:r>
      <w:proofErr w:type="spellStart"/>
      <w:r w:rsidR="00A16EE6" w:rsidRPr="00466939">
        <w:rPr>
          <w:szCs w:val="24"/>
        </w:rPr>
        <w:t>vis</w:t>
      </w:r>
      <w:proofErr w:type="spellEnd"/>
      <w:r w:rsidR="00A16EE6" w:rsidRPr="00466939">
        <w:rPr>
          <w:szCs w:val="24"/>
        </w:rPr>
        <w:t xml:space="preserve"> maior időtartama meghaladja a </w:t>
      </w:r>
      <w:r w:rsidR="00913DC1" w:rsidRPr="00466939">
        <w:rPr>
          <w:szCs w:val="24"/>
        </w:rPr>
        <w:t>30</w:t>
      </w:r>
      <w:r w:rsidR="00A16EE6" w:rsidRPr="00466939">
        <w:rPr>
          <w:szCs w:val="24"/>
        </w:rPr>
        <w:t xml:space="preserve"> (harminc) napot, a másik félnek jogában áll – számára hátrányos jogkövetkezmények nélkül – a teljes szerződéstől elállni oly módon, hogy a </w:t>
      </w:r>
      <w:proofErr w:type="spellStart"/>
      <w:r w:rsidR="00A16EE6" w:rsidRPr="00466939">
        <w:rPr>
          <w:szCs w:val="24"/>
        </w:rPr>
        <w:t>vis</w:t>
      </w:r>
      <w:proofErr w:type="spellEnd"/>
      <w:r w:rsidR="00A16EE6" w:rsidRPr="00466939">
        <w:rPr>
          <w:szCs w:val="24"/>
        </w:rPr>
        <w:t xml:space="preserve"> maiorra hivatkozó félnek erről értesítést küld. A teljesített kötelezettségek tekintetében a Felek egymással elszámolnak.</w:t>
      </w:r>
    </w:p>
    <w:p w14:paraId="57EBBD9E" w14:textId="032E3D02" w:rsidR="00DA5626" w:rsidRPr="00466939" w:rsidRDefault="00DA5626" w:rsidP="000F3A63">
      <w:pPr>
        <w:pStyle w:val="Szvegtrzsbehzssal"/>
        <w:spacing w:before="240" w:after="240"/>
        <w:ind w:firstLine="0"/>
        <w:rPr>
          <w:b/>
          <w:szCs w:val="24"/>
        </w:rPr>
      </w:pPr>
      <w:r w:rsidRPr="00466939">
        <w:rPr>
          <w:b/>
          <w:szCs w:val="24"/>
        </w:rPr>
        <w:t>7. Együttműködések, értesítések</w:t>
      </w:r>
      <w:r w:rsidR="007818E3">
        <w:rPr>
          <w:b/>
          <w:szCs w:val="24"/>
        </w:rPr>
        <w:t>:</w:t>
      </w:r>
    </w:p>
    <w:p w14:paraId="09D64D9D" w14:textId="77777777" w:rsidR="002839D2" w:rsidRPr="00466939" w:rsidRDefault="000169A6" w:rsidP="00AB48B3">
      <w:pPr>
        <w:pStyle w:val="Szvegtrzsbehzssal"/>
        <w:spacing w:after="240"/>
        <w:ind w:left="425" w:hanging="425"/>
        <w:rPr>
          <w:szCs w:val="24"/>
        </w:rPr>
      </w:pPr>
      <w:r w:rsidRPr="00466939">
        <w:rPr>
          <w:szCs w:val="24"/>
        </w:rPr>
        <w:t>7</w:t>
      </w:r>
      <w:r w:rsidR="00A9560D" w:rsidRPr="00466939">
        <w:rPr>
          <w:szCs w:val="24"/>
        </w:rPr>
        <w:t>.1</w:t>
      </w:r>
      <w:r w:rsidR="00A9560D" w:rsidRPr="00466939">
        <w:rPr>
          <w:szCs w:val="24"/>
        </w:rPr>
        <w:tab/>
        <w:t xml:space="preserve">A teljesítés során a </w:t>
      </w:r>
      <w:r w:rsidR="002D710B" w:rsidRPr="00466939">
        <w:rPr>
          <w:szCs w:val="24"/>
        </w:rPr>
        <w:t xml:space="preserve">Felek </w:t>
      </w:r>
      <w:r w:rsidR="00A9560D" w:rsidRPr="00466939">
        <w:rPr>
          <w:szCs w:val="24"/>
        </w:rPr>
        <w:t>köteles</w:t>
      </w:r>
      <w:r w:rsidR="002D710B" w:rsidRPr="00466939">
        <w:rPr>
          <w:szCs w:val="24"/>
        </w:rPr>
        <w:t>ek együttműködni egymással</w:t>
      </w:r>
      <w:r w:rsidR="00A9560D" w:rsidRPr="00466939">
        <w:rPr>
          <w:szCs w:val="24"/>
        </w:rPr>
        <w:t xml:space="preserve">, továbbá </w:t>
      </w:r>
      <w:r w:rsidR="00913DC1" w:rsidRPr="00466939">
        <w:rPr>
          <w:szCs w:val="24"/>
        </w:rPr>
        <w:t>kötelesek</w:t>
      </w:r>
      <w:r w:rsidR="00A9560D" w:rsidRPr="00466939">
        <w:rPr>
          <w:szCs w:val="24"/>
        </w:rPr>
        <w:t xml:space="preserve"> a szükséges egyeztetéseket lefolytatni, az elvárható szakmai támogatást megadni, illetve igénybe venni.</w:t>
      </w:r>
    </w:p>
    <w:p w14:paraId="7D6C3322" w14:textId="028B3D70" w:rsidR="001B791C" w:rsidRPr="00466939" w:rsidRDefault="000169A6" w:rsidP="002839D2">
      <w:pPr>
        <w:pStyle w:val="Szvegtrzsbehzssal"/>
        <w:spacing w:after="240"/>
        <w:ind w:left="425" w:hanging="425"/>
        <w:rPr>
          <w:szCs w:val="24"/>
        </w:rPr>
      </w:pPr>
      <w:r w:rsidRPr="00466939">
        <w:rPr>
          <w:szCs w:val="24"/>
        </w:rPr>
        <w:t>7</w:t>
      </w:r>
      <w:r w:rsidR="00A9560D" w:rsidRPr="00466939">
        <w:rPr>
          <w:szCs w:val="24"/>
        </w:rPr>
        <w:t>.2</w:t>
      </w:r>
      <w:r w:rsidR="00A9560D" w:rsidRPr="00466939">
        <w:rPr>
          <w:szCs w:val="24"/>
        </w:rPr>
        <w:tab/>
        <w:t>Felek megállapodnak, hogy az egymás közötti kommunikáció során a joghatás kiváltására alkalmas információközlésnek az e-mail, vagy ajánlott, tértivevényes levél útján közölt adatok továbbítását fogadják el</w:t>
      </w:r>
      <w:r w:rsidR="002D710B" w:rsidRPr="00466939">
        <w:rPr>
          <w:szCs w:val="24"/>
        </w:rPr>
        <w:t xml:space="preserve">. </w:t>
      </w:r>
      <w:r w:rsidR="00A9560D" w:rsidRPr="00466939">
        <w:rPr>
          <w:szCs w:val="24"/>
        </w:rPr>
        <w:t>Fe</w:t>
      </w:r>
      <w:r w:rsidR="002D710B" w:rsidRPr="00466939">
        <w:rPr>
          <w:szCs w:val="24"/>
        </w:rPr>
        <w:t>lek</w:t>
      </w:r>
      <w:r w:rsidR="00A9560D" w:rsidRPr="00466939">
        <w:rPr>
          <w:szCs w:val="24"/>
        </w:rPr>
        <w:t xml:space="preserve"> szabályszerű írásbeli közlésnek tekintik az e-mailen elküldött írásbeli üzeneteket is. Kétség esetén mind levél, mind e-mail esetében a küldő felet terheli ann</w:t>
      </w:r>
      <w:r w:rsidR="002D710B" w:rsidRPr="00466939">
        <w:rPr>
          <w:szCs w:val="24"/>
        </w:rPr>
        <w:t>ak a bizonyítása, hogy a másik F</w:t>
      </w:r>
      <w:r w:rsidR="00A9560D" w:rsidRPr="00466939">
        <w:rPr>
          <w:szCs w:val="24"/>
        </w:rPr>
        <w:t>él részére az üzenetet elküldte. Az üzenet megküldése bizonyítható ajánlott postai küldemény esetén feladóvevénnyel, e-mail esetében elektronikus kézbesítési jelentéssel.</w:t>
      </w:r>
    </w:p>
    <w:p w14:paraId="3AF29AE9" w14:textId="77777777" w:rsidR="00A9560D" w:rsidRPr="00466939" w:rsidRDefault="000169A6" w:rsidP="000F3A63">
      <w:pPr>
        <w:pStyle w:val="Szvegtrzsbehzssal"/>
        <w:spacing w:after="240"/>
        <w:ind w:left="426" w:hanging="426"/>
        <w:rPr>
          <w:szCs w:val="24"/>
        </w:rPr>
      </w:pPr>
      <w:r w:rsidRPr="00466939">
        <w:rPr>
          <w:szCs w:val="24"/>
        </w:rPr>
        <w:t>7</w:t>
      </w:r>
      <w:r w:rsidR="00A9560D" w:rsidRPr="00466939">
        <w:rPr>
          <w:szCs w:val="24"/>
        </w:rPr>
        <w:t>.3</w:t>
      </w:r>
      <w:r w:rsidR="00A9560D" w:rsidRPr="00466939">
        <w:rPr>
          <w:szCs w:val="24"/>
        </w:rPr>
        <w:tab/>
        <w:t xml:space="preserve">Felek ugyanakkor kötelezik magukat arra, hogy a </w:t>
      </w:r>
      <w:r w:rsidR="00227CD6" w:rsidRPr="00466939">
        <w:rPr>
          <w:szCs w:val="24"/>
        </w:rPr>
        <w:t>megállapodás</w:t>
      </w:r>
      <w:r w:rsidR="00A9560D" w:rsidRPr="00466939">
        <w:rPr>
          <w:szCs w:val="24"/>
        </w:rPr>
        <w:t xml:space="preserve"> teljesítése szempontjából különösen fontos iratokat (</w:t>
      </w:r>
      <w:r w:rsidR="00227CD6" w:rsidRPr="00466939">
        <w:rPr>
          <w:szCs w:val="24"/>
        </w:rPr>
        <w:t>megállapodás</w:t>
      </w:r>
      <w:r w:rsidR="00A9560D" w:rsidRPr="00466939">
        <w:rPr>
          <w:szCs w:val="24"/>
        </w:rPr>
        <w:t xml:space="preserve"> megszüntetésére, meghosszabbítására vonatkozó iratok, hibás teljesítéssel kapcsolatos nyilatkozatok) személyesen, illetve ajánlott, tértivevényes levél útján juttatják el a címzett részére.</w:t>
      </w:r>
    </w:p>
    <w:p w14:paraId="082DA45B" w14:textId="77777777" w:rsidR="008C62E0" w:rsidRPr="00466939" w:rsidRDefault="000169A6" w:rsidP="000F3A63">
      <w:pPr>
        <w:pStyle w:val="Szvegtrzsbehzssal"/>
        <w:ind w:left="426" w:hanging="426"/>
        <w:rPr>
          <w:szCs w:val="24"/>
        </w:rPr>
      </w:pPr>
      <w:r w:rsidRPr="00466939">
        <w:rPr>
          <w:szCs w:val="24"/>
        </w:rPr>
        <w:t>7</w:t>
      </w:r>
      <w:r w:rsidR="00A9560D" w:rsidRPr="00466939">
        <w:rPr>
          <w:szCs w:val="24"/>
        </w:rPr>
        <w:t>.4</w:t>
      </w:r>
      <w:r w:rsidR="00A9560D" w:rsidRPr="00466939">
        <w:rPr>
          <w:szCs w:val="24"/>
        </w:rPr>
        <w:tab/>
        <w:t>Felek kifejezetten megállapodnak egymással, hogy a fentiek szerinti ajánlott, tértivevényes levél (a továbbiakban: Levél) esetében, a Levelet a postai feladás napját követő 5. (ötödik) munkanapon kézbesítettnek kell tekinteni, ha a kézbesítés azért volt eredménytelen, mert a címzett a Levelet a postai szolgáltató értesítése ellenére nem vette át („nem kereste” jelzés). A Levelet szintén a fentiek szerinti időpontban kell kézbesítettnek tekinteni abban az esetben is, ha a címzett az átvételt megtagadta („átvételt megtagadta” jelzés), továbbá akkor is, ha az átvétel egyéb okból hiúsult meg („elköltözött”, „címzett ismeretlen”, „kézbesítés akadályozott” jelzések).</w:t>
      </w:r>
    </w:p>
    <w:p w14:paraId="5A06E404" w14:textId="1FE71B45" w:rsidR="008C62E0" w:rsidRPr="00466939" w:rsidRDefault="008C62E0" w:rsidP="000F3A63">
      <w:pPr>
        <w:pStyle w:val="Szvegtrzsbehzssal"/>
        <w:spacing w:before="240" w:after="240"/>
        <w:ind w:firstLine="0"/>
        <w:rPr>
          <w:b/>
          <w:szCs w:val="24"/>
        </w:rPr>
      </w:pPr>
      <w:r w:rsidRPr="00466939">
        <w:rPr>
          <w:b/>
          <w:szCs w:val="24"/>
        </w:rPr>
        <w:t>8. Vegyes rendelkezések</w:t>
      </w:r>
      <w:r w:rsidR="007818E3">
        <w:rPr>
          <w:b/>
          <w:szCs w:val="24"/>
        </w:rPr>
        <w:t>:</w:t>
      </w:r>
    </w:p>
    <w:p w14:paraId="556646B1" w14:textId="77777777" w:rsidR="008C62E0" w:rsidRPr="00466939" w:rsidRDefault="008C62E0" w:rsidP="000F3A63">
      <w:pPr>
        <w:pStyle w:val="Szvegtrzsbehzssal"/>
        <w:spacing w:after="240"/>
        <w:ind w:left="425" w:hanging="425"/>
        <w:rPr>
          <w:szCs w:val="24"/>
        </w:rPr>
      </w:pPr>
      <w:r w:rsidRPr="00466939">
        <w:rPr>
          <w:szCs w:val="24"/>
        </w:rPr>
        <w:t>8.1.</w:t>
      </w:r>
      <w:r w:rsidRPr="00466939">
        <w:rPr>
          <w:szCs w:val="24"/>
        </w:rPr>
        <w:tab/>
        <w:t>A Felek jelen okirat aláírásával kifejezetten kijelentik, hogy a fentiek teljesen és kizárólagosan testesítik meg a közöttük létrejött egyezséget, amely megelőz és leront, illetőleg hatálytalanít minden, a jelen egyezség tárgyában a Felek között korábban született szóbeli vagy írásbeli egyezséget, javaslatot, tervezetet, kötelezettségvállalást és egyéb kommunikációt.</w:t>
      </w:r>
    </w:p>
    <w:p w14:paraId="4FB2DAF4" w14:textId="77777777" w:rsidR="00227CD6" w:rsidRPr="00466939" w:rsidRDefault="008C62E0" w:rsidP="000F3A63">
      <w:pPr>
        <w:pStyle w:val="Szvegtrzsbehzssal"/>
        <w:spacing w:after="240"/>
        <w:ind w:left="425" w:hanging="425"/>
        <w:rPr>
          <w:szCs w:val="24"/>
        </w:rPr>
      </w:pPr>
      <w:r w:rsidRPr="00466939">
        <w:rPr>
          <w:szCs w:val="24"/>
        </w:rPr>
        <w:t>8.2.</w:t>
      </w:r>
      <w:r w:rsidRPr="00466939">
        <w:rPr>
          <w:szCs w:val="24"/>
        </w:rPr>
        <w:tab/>
        <w:t>A jelen megállapodás egyes rendelkezései egymással összhangban értelmezendőek, és amennyiben a jelen megállapodás valamely rendelkezése vagy egy beazonosítható része érvénytelennek bizonyul, akkor az ilyen érvénytelenség nem érinti a jelen megállapodás többi rendelkezését vagy annak beazonosítható részeit.</w:t>
      </w:r>
    </w:p>
    <w:p w14:paraId="1B8696A3" w14:textId="77777777" w:rsidR="00227CD6" w:rsidRPr="00466939" w:rsidRDefault="00227CD6" w:rsidP="000F3A63">
      <w:pPr>
        <w:pStyle w:val="Szvegtrzsbehzssal"/>
        <w:spacing w:after="240"/>
        <w:ind w:left="425" w:hanging="425"/>
        <w:rPr>
          <w:szCs w:val="24"/>
        </w:rPr>
      </w:pPr>
      <w:r w:rsidRPr="00466939">
        <w:rPr>
          <w:szCs w:val="24"/>
        </w:rPr>
        <w:t>8.3. Személyes adatok kezelésére vonatkozó rendelkezések</w:t>
      </w:r>
    </w:p>
    <w:p w14:paraId="154DB672" w14:textId="77777777" w:rsidR="002839D2" w:rsidRPr="00466939" w:rsidRDefault="00227CD6" w:rsidP="00AB48B3">
      <w:pPr>
        <w:pStyle w:val="Szvegtrzsbehzssal"/>
        <w:spacing w:after="240"/>
        <w:ind w:left="425" w:hanging="425"/>
        <w:rPr>
          <w:szCs w:val="24"/>
        </w:rPr>
      </w:pPr>
      <w:r w:rsidRPr="00466939">
        <w:rPr>
          <w:szCs w:val="24"/>
        </w:rPr>
        <w:t xml:space="preserve">8.3.1.a. </w:t>
      </w:r>
      <w:r w:rsidR="00A81B74" w:rsidRPr="00466939">
        <w:rPr>
          <w:szCs w:val="24"/>
        </w:rPr>
        <w:t>Felhasználó</w:t>
      </w:r>
      <w:r w:rsidRPr="00466939">
        <w:rPr>
          <w:szCs w:val="24"/>
        </w:rPr>
        <w:t xml:space="preserve"> tudomásul veszi, hogy az </w:t>
      </w:r>
      <w:r w:rsidR="00A81B74" w:rsidRPr="00466939">
        <w:rPr>
          <w:szCs w:val="24"/>
        </w:rPr>
        <w:t xml:space="preserve">KSH </w:t>
      </w:r>
      <w:r w:rsidR="00913DC1" w:rsidRPr="00466939">
        <w:rPr>
          <w:szCs w:val="24"/>
        </w:rPr>
        <w:t>NKI</w:t>
      </w:r>
      <w:r w:rsidR="00A81B74" w:rsidRPr="00466939">
        <w:rPr>
          <w:szCs w:val="24"/>
        </w:rPr>
        <w:t xml:space="preserve"> a </w:t>
      </w:r>
      <w:r w:rsidR="00E36946" w:rsidRPr="00466939">
        <w:rPr>
          <w:szCs w:val="24"/>
        </w:rPr>
        <w:t>Rendelet</w:t>
      </w:r>
      <w:r w:rsidRPr="00466939" w:rsidDel="002201FA">
        <w:rPr>
          <w:szCs w:val="24"/>
        </w:rPr>
        <w:t xml:space="preserve"> </w:t>
      </w:r>
      <w:r w:rsidRPr="00466939">
        <w:rPr>
          <w:szCs w:val="24"/>
        </w:rPr>
        <w:t xml:space="preserve">6. cikk (1) </w:t>
      </w:r>
      <w:proofErr w:type="spellStart"/>
      <w:r w:rsidRPr="00466939">
        <w:rPr>
          <w:szCs w:val="24"/>
        </w:rPr>
        <w:t>bek</w:t>
      </w:r>
      <w:proofErr w:type="spellEnd"/>
      <w:r w:rsidRPr="00466939">
        <w:rPr>
          <w:szCs w:val="24"/>
        </w:rPr>
        <w:t xml:space="preserve">. </w:t>
      </w:r>
      <w:r w:rsidR="00FF5AB0" w:rsidRPr="00466939">
        <w:rPr>
          <w:szCs w:val="24"/>
        </w:rPr>
        <w:t xml:space="preserve">b) </w:t>
      </w:r>
      <w:r w:rsidRPr="00466939">
        <w:rPr>
          <w:szCs w:val="24"/>
        </w:rPr>
        <w:t xml:space="preserve">pontjai szerint kezeli a szerződés megkötése (így különösen jelen szerződés előkészítése, többszörözése, adminisztrációja, nyilvántartása stb.) és teljesítése során az </w:t>
      </w:r>
      <w:r w:rsidR="00A81B74" w:rsidRPr="00466939">
        <w:rPr>
          <w:szCs w:val="24"/>
        </w:rPr>
        <w:t xml:space="preserve">KSH </w:t>
      </w:r>
      <w:r w:rsidR="00913DC1" w:rsidRPr="00466939">
        <w:rPr>
          <w:szCs w:val="24"/>
        </w:rPr>
        <w:t>NKI</w:t>
      </w:r>
      <w:r w:rsidR="00A81B74" w:rsidRPr="00466939">
        <w:rPr>
          <w:szCs w:val="24"/>
        </w:rPr>
        <w:t xml:space="preserve"> </w:t>
      </w:r>
      <w:r w:rsidRPr="00466939">
        <w:rPr>
          <w:szCs w:val="24"/>
        </w:rPr>
        <w:t>rendelkezésére bocsátott valamennyi személyes adatot.</w:t>
      </w:r>
    </w:p>
    <w:p w14:paraId="615CF4FA" w14:textId="65FBEB82" w:rsidR="00C57981" w:rsidRPr="00466939" w:rsidRDefault="00227CD6" w:rsidP="000F3A63">
      <w:pPr>
        <w:pStyle w:val="Szvegtrzsbehzssal"/>
        <w:spacing w:after="240"/>
        <w:ind w:left="425" w:hanging="425"/>
        <w:rPr>
          <w:szCs w:val="24"/>
        </w:rPr>
      </w:pPr>
      <w:r w:rsidRPr="00466939">
        <w:rPr>
          <w:szCs w:val="24"/>
        </w:rPr>
        <w:t>8.3.1.</w:t>
      </w:r>
      <w:r w:rsidR="007818E3">
        <w:rPr>
          <w:szCs w:val="24"/>
        </w:rPr>
        <w:t>b</w:t>
      </w:r>
      <w:r w:rsidRPr="00466939">
        <w:rPr>
          <w:szCs w:val="24"/>
        </w:rPr>
        <w:t>.</w:t>
      </w:r>
      <w:r w:rsidR="007818E3">
        <w:rPr>
          <w:szCs w:val="24"/>
        </w:rPr>
        <w:t xml:space="preserve"> </w:t>
      </w:r>
      <w:r w:rsidR="00A81B74" w:rsidRPr="00466939">
        <w:rPr>
          <w:szCs w:val="24"/>
        </w:rPr>
        <w:t>Felhasználó</w:t>
      </w:r>
      <w:r w:rsidR="00B55F9F" w:rsidRPr="00466939">
        <w:rPr>
          <w:szCs w:val="24"/>
        </w:rPr>
        <w:t xml:space="preserve"> a jelen szerződés aláírásával</w:t>
      </w:r>
      <w:r w:rsidRPr="00466939">
        <w:rPr>
          <w:szCs w:val="24"/>
        </w:rPr>
        <w:t xml:space="preserve"> kifejezetten tudomásul veszi, hogy az </w:t>
      </w:r>
      <w:r w:rsidR="00A81B74" w:rsidRPr="00466939">
        <w:rPr>
          <w:szCs w:val="24"/>
        </w:rPr>
        <w:t xml:space="preserve">KSH </w:t>
      </w:r>
      <w:r w:rsidR="00913DC1" w:rsidRPr="00466939">
        <w:rPr>
          <w:szCs w:val="24"/>
        </w:rPr>
        <w:t>NKI</w:t>
      </w:r>
      <w:r w:rsidR="00A81B74" w:rsidRPr="00466939">
        <w:rPr>
          <w:szCs w:val="24"/>
        </w:rPr>
        <w:t xml:space="preserve"> </w:t>
      </w:r>
      <w:r w:rsidRPr="00466939">
        <w:rPr>
          <w:szCs w:val="24"/>
        </w:rPr>
        <w:t xml:space="preserve">jogosult az általa kezelt személyes adatokat </w:t>
      </w:r>
      <w:r w:rsidR="00B55F9F" w:rsidRPr="00466939">
        <w:rPr>
          <w:szCs w:val="24"/>
        </w:rPr>
        <w:t>adatfeldolgozók</w:t>
      </w:r>
      <w:r w:rsidRPr="00466939">
        <w:rPr>
          <w:szCs w:val="24"/>
        </w:rPr>
        <w:t xml:space="preserve"> felé továbbítani annak érdekében, hogy a jogviszonnyal összefüggésben felmerülő speciális feladatokat elláthassa. </w:t>
      </w:r>
      <w:r w:rsidR="00A81B74" w:rsidRPr="00466939">
        <w:rPr>
          <w:szCs w:val="24"/>
        </w:rPr>
        <w:t>Felhasználó</w:t>
      </w:r>
      <w:r w:rsidRPr="00466939">
        <w:rPr>
          <w:szCs w:val="24"/>
        </w:rPr>
        <w:t xml:space="preserve"> kijelenti, hogy a szerződés teljesítéséhez szükséges, különösen az általa közvetlenül gyűjtött személyes adatok kezelését jogszerűen végzi, továbbá szavatolja az </w:t>
      </w:r>
      <w:r w:rsidR="00B55F9F" w:rsidRPr="00466939">
        <w:rPr>
          <w:szCs w:val="24"/>
        </w:rPr>
        <w:t>KSH Népességtudományi Kutató</w:t>
      </w:r>
      <w:r w:rsidR="00335555" w:rsidRPr="00466939">
        <w:rPr>
          <w:szCs w:val="24"/>
        </w:rPr>
        <w:t xml:space="preserve"> I</w:t>
      </w:r>
      <w:r w:rsidR="00B55F9F" w:rsidRPr="00466939">
        <w:rPr>
          <w:szCs w:val="24"/>
        </w:rPr>
        <w:t>ntézet</w:t>
      </w:r>
      <w:r w:rsidRPr="00466939">
        <w:rPr>
          <w:szCs w:val="24"/>
        </w:rPr>
        <w:t xml:space="preserve"> részére esetlegesen megküldött személyes adatok kezelésének jogszerűségét. A közvetlenül a </w:t>
      </w:r>
      <w:r w:rsidR="00B55F9F" w:rsidRPr="00466939">
        <w:rPr>
          <w:szCs w:val="24"/>
        </w:rPr>
        <w:t>Felhasználó</w:t>
      </w:r>
      <w:r w:rsidRPr="00466939">
        <w:rPr>
          <w:szCs w:val="24"/>
        </w:rPr>
        <w:t xml:space="preserve"> által jogszerűtlenül gyűjtött személyes adatok kezeléséből eredő károkat a </w:t>
      </w:r>
      <w:r w:rsidR="00B55F9F" w:rsidRPr="00466939">
        <w:rPr>
          <w:szCs w:val="24"/>
        </w:rPr>
        <w:t>Felhasználó</w:t>
      </w:r>
      <w:r w:rsidRPr="00466939">
        <w:rPr>
          <w:szCs w:val="24"/>
        </w:rPr>
        <w:t xml:space="preserve"> köteles megtéríteni, az </w:t>
      </w:r>
      <w:r w:rsidR="00E94ABB" w:rsidRPr="00466939">
        <w:rPr>
          <w:szCs w:val="24"/>
        </w:rPr>
        <w:t>KSH Népességtudományi Kutató</w:t>
      </w:r>
      <w:r w:rsidR="00335555" w:rsidRPr="00466939">
        <w:rPr>
          <w:szCs w:val="24"/>
        </w:rPr>
        <w:t xml:space="preserve"> I</w:t>
      </w:r>
      <w:r w:rsidR="00E94ABB" w:rsidRPr="00466939">
        <w:rPr>
          <w:szCs w:val="24"/>
        </w:rPr>
        <w:t>ntézet</w:t>
      </w:r>
      <w:r w:rsidRPr="00466939">
        <w:rPr>
          <w:szCs w:val="24"/>
        </w:rPr>
        <w:t xml:space="preserve"> az ebből eredő károkért nem felel.</w:t>
      </w:r>
    </w:p>
    <w:p w14:paraId="462EF230" w14:textId="77777777" w:rsidR="00AB48B3" w:rsidRPr="003D22F3" w:rsidRDefault="00227CD6" w:rsidP="003E6F7A">
      <w:pPr>
        <w:spacing w:after="240"/>
        <w:ind w:left="425" w:hanging="425"/>
        <w:jc w:val="both"/>
        <w:rPr>
          <w:lang w:val="hu-HU"/>
        </w:rPr>
      </w:pPr>
      <w:r w:rsidRPr="003D22F3">
        <w:rPr>
          <w:lang w:val="hu-HU"/>
        </w:rPr>
        <w:t xml:space="preserve">8.3.2. </w:t>
      </w:r>
      <w:r w:rsidR="00C57981" w:rsidRPr="003D22F3">
        <w:rPr>
          <w:lang w:val="hu-HU"/>
        </w:rPr>
        <w:t>Felhasználó</w:t>
      </w:r>
      <w:r w:rsidRPr="003D22F3">
        <w:rPr>
          <w:lang w:val="hu-HU"/>
        </w:rPr>
        <w:t xml:space="preserve"> </w:t>
      </w:r>
      <w:r w:rsidR="00335555" w:rsidRPr="003D22F3">
        <w:rPr>
          <w:lang w:val="hu-HU"/>
        </w:rPr>
        <w:t xml:space="preserve">a </w:t>
      </w:r>
      <w:r w:rsidR="00C57981" w:rsidRPr="003D22F3">
        <w:rPr>
          <w:lang w:val="hu-HU"/>
        </w:rPr>
        <w:t>KSH Népességtudományi Kutató</w:t>
      </w:r>
      <w:r w:rsidR="00335555" w:rsidRPr="003D22F3">
        <w:rPr>
          <w:lang w:val="hu-HU"/>
        </w:rPr>
        <w:t xml:space="preserve"> I</w:t>
      </w:r>
      <w:r w:rsidR="00C57981" w:rsidRPr="003D22F3">
        <w:rPr>
          <w:lang w:val="hu-HU"/>
        </w:rPr>
        <w:t>ntézet</w:t>
      </w:r>
      <w:r w:rsidRPr="003D22F3">
        <w:rPr>
          <w:lang w:val="hu-HU"/>
        </w:rPr>
        <w:t xml:space="preserve"> nevében személyes adatokhoz kapcsolódóan adatfeldolgozást </w:t>
      </w:r>
      <w:r w:rsidRPr="003D22F3">
        <w:rPr>
          <w:b/>
          <w:lang w:val="hu-HU"/>
        </w:rPr>
        <w:t>nem végez</w:t>
      </w:r>
      <w:r w:rsidRPr="003D22F3">
        <w:rPr>
          <w:lang w:val="hu-HU"/>
        </w:rPr>
        <w:t>.</w:t>
      </w:r>
    </w:p>
    <w:p w14:paraId="120DED56" w14:textId="77777777" w:rsidR="00755FB1" w:rsidRPr="00466939" w:rsidRDefault="00755FB1" w:rsidP="003E6F7A">
      <w:pPr>
        <w:spacing w:after="240"/>
        <w:ind w:left="425" w:hanging="425"/>
        <w:jc w:val="both"/>
        <w:rPr>
          <w:lang w:val="hu-HU"/>
        </w:rPr>
      </w:pPr>
      <w:r w:rsidRPr="003D22F3">
        <w:rPr>
          <w:lang w:val="hu-HU"/>
        </w:rPr>
        <w:t xml:space="preserve">8.4. </w:t>
      </w:r>
      <w:r w:rsidRPr="00466939">
        <w:rPr>
          <w:lang w:val="hu-HU"/>
        </w:rPr>
        <w:t>Felek kifejezetten kijelentik, hogy a jelen jogügyletre vonatkozóan a fentiek teljesen és kizárólagosan testesítik meg a közöttük létrejött megállapodást, amely megelőz és leront, illetőleg hatálytalanít minden, a jelen szerződés tárgyában a Felek között korábban született szóbeli vagy írásbeli megállapodást, javaslatot, tervezetet, kötelezettségvállalást és egyéb kommunikációt.</w:t>
      </w:r>
    </w:p>
    <w:p w14:paraId="3B56C42D" w14:textId="77777777" w:rsidR="00755FB1" w:rsidRPr="00466939" w:rsidRDefault="00755FB1" w:rsidP="003E6F7A">
      <w:pPr>
        <w:spacing w:after="240"/>
        <w:ind w:left="425" w:hanging="425"/>
        <w:jc w:val="both"/>
        <w:rPr>
          <w:lang w:val="hu-HU"/>
        </w:rPr>
      </w:pPr>
      <w:r w:rsidRPr="00466939">
        <w:rPr>
          <w:lang w:val="hu-HU"/>
        </w:rPr>
        <w:t>8.5. A jelen szerződés módosítása, kiegészítése kizárólag a Felek közös megegyezésével, írásban, a Felek erre jogosult képviselőinek aláírásával érvényes.</w:t>
      </w:r>
    </w:p>
    <w:p w14:paraId="0AB0B437" w14:textId="77777777" w:rsidR="00755FB1" w:rsidRPr="003D22F3" w:rsidRDefault="00755FB1" w:rsidP="003E6F7A">
      <w:pPr>
        <w:spacing w:after="240"/>
        <w:ind w:left="425" w:hanging="425"/>
        <w:jc w:val="both"/>
        <w:rPr>
          <w:lang w:val="hu-HU"/>
        </w:rPr>
      </w:pPr>
      <w:r w:rsidRPr="00466939">
        <w:rPr>
          <w:lang w:val="hu-HU"/>
        </w:rPr>
        <w:t>8.6. A Felek rögzítik, hogy tiszteletben tartják egymás személyhez fűződő jogait, különös tekintettel a jó hírnév védelmére. Ezen szabályok megsértése esetén a sértett Fél jogosult a jelen szerződést azonnali hatállyal felmondani.</w:t>
      </w:r>
    </w:p>
    <w:p w14:paraId="37FE487F" w14:textId="77777777" w:rsidR="00C57981" w:rsidRPr="003D22F3" w:rsidDel="00C57981" w:rsidRDefault="00CB522A" w:rsidP="000F3A63">
      <w:pPr>
        <w:spacing w:after="360"/>
        <w:jc w:val="both"/>
        <w:rPr>
          <w:lang w:val="hu-HU"/>
        </w:rPr>
      </w:pPr>
      <w:r w:rsidRPr="00466939">
        <w:rPr>
          <w:color w:val="000000"/>
          <w:lang w:val="hu-HU" w:eastAsia="hu-HU"/>
        </w:rPr>
        <w:t xml:space="preserve">A Felek a jelen </w:t>
      </w:r>
      <w:r w:rsidR="00745088" w:rsidRPr="00466939">
        <w:rPr>
          <w:color w:val="000000"/>
          <w:lang w:val="hu-HU" w:eastAsia="hu-HU"/>
        </w:rPr>
        <w:t>megállapodást</w:t>
      </w:r>
      <w:r w:rsidRPr="00466939">
        <w:rPr>
          <w:color w:val="000000"/>
          <w:lang w:val="hu-HU" w:eastAsia="hu-HU"/>
        </w:rPr>
        <w:t xml:space="preserve"> elolvasták, megértették, és azt, mint akaratukkal mindenben megegyezőt, jóváhagyólag, igazolt képviselőik útján cégszerűen aláírták.</w:t>
      </w:r>
      <w:r w:rsidR="00745088" w:rsidRPr="00466939">
        <w:rPr>
          <w:color w:val="000000"/>
          <w:lang w:val="hu-HU" w:eastAsia="hu-HU"/>
        </w:rPr>
        <w:t xml:space="preserve"> Jelen megállapodást 2 (kettő) darab eredeti példányban készült, amelyből 1 (egy) példány az KSH Népességtudományi Kutató</w:t>
      </w:r>
      <w:r w:rsidR="00335555" w:rsidRPr="00466939">
        <w:rPr>
          <w:color w:val="000000"/>
          <w:lang w:val="hu-HU" w:eastAsia="hu-HU"/>
        </w:rPr>
        <w:t xml:space="preserve"> I</w:t>
      </w:r>
      <w:r w:rsidR="00745088" w:rsidRPr="00466939">
        <w:rPr>
          <w:color w:val="000000"/>
          <w:lang w:val="hu-HU" w:eastAsia="hu-HU"/>
        </w:rPr>
        <w:t>ntézetet, 1 (egy) példány a Felhasználót illeti.</w:t>
      </w:r>
    </w:p>
    <w:tbl>
      <w:tblPr>
        <w:tblpPr w:leftFromText="141" w:rightFromText="141"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1"/>
      </w:tblGrid>
      <w:tr w:rsidR="00C57981" w:rsidRPr="00466939" w14:paraId="51C51BCE" w14:textId="77777777" w:rsidTr="00474F51">
        <w:tc>
          <w:tcPr>
            <w:tcW w:w="4644" w:type="dxa"/>
            <w:tcBorders>
              <w:top w:val="nil"/>
              <w:left w:val="nil"/>
              <w:bottom w:val="nil"/>
              <w:right w:val="nil"/>
            </w:tcBorders>
            <w:shd w:val="clear" w:color="auto" w:fill="auto"/>
          </w:tcPr>
          <w:p w14:paraId="312FF18D" w14:textId="000DD9A0" w:rsidR="00C57981" w:rsidRPr="00466939" w:rsidRDefault="00C57981" w:rsidP="00335555">
            <w:pPr>
              <w:spacing w:before="120" w:after="120"/>
              <w:ind w:left="317"/>
              <w:jc w:val="center"/>
              <w:rPr>
                <w:rFonts w:eastAsia="Calibri"/>
                <w:color w:val="000000"/>
                <w:lang w:val="hu-HU" w:eastAsia="hu-HU"/>
              </w:rPr>
            </w:pPr>
            <w:r w:rsidRPr="00466939">
              <w:rPr>
                <w:rFonts w:eastAsia="Calibri"/>
                <w:b/>
                <w:color w:val="000000"/>
                <w:lang w:val="hu-HU" w:eastAsia="hu-HU"/>
              </w:rPr>
              <w:t>KSH Népességtudományi Kutató</w:t>
            </w:r>
            <w:r w:rsidR="00335555" w:rsidRPr="00466939">
              <w:rPr>
                <w:rFonts w:eastAsia="Calibri"/>
                <w:b/>
                <w:color w:val="000000"/>
                <w:lang w:val="hu-HU" w:eastAsia="hu-HU"/>
              </w:rPr>
              <w:t xml:space="preserve"> I</w:t>
            </w:r>
            <w:r w:rsidRPr="00466939">
              <w:rPr>
                <w:rFonts w:eastAsia="Calibri"/>
                <w:b/>
                <w:color w:val="000000"/>
                <w:lang w:val="hu-HU" w:eastAsia="hu-HU"/>
              </w:rPr>
              <w:t>ntézet részéről</w:t>
            </w:r>
          </w:p>
        </w:tc>
        <w:tc>
          <w:tcPr>
            <w:tcW w:w="4531" w:type="dxa"/>
            <w:tcBorders>
              <w:top w:val="nil"/>
              <w:left w:val="nil"/>
              <w:bottom w:val="nil"/>
              <w:right w:val="nil"/>
            </w:tcBorders>
            <w:shd w:val="clear" w:color="auto" w:fill="auto"/>
          </w:tcPr>
          <w:p w14:paraId="175277A8" w14:textId="77777777" w:rsidR="00C57981" w:rsidRPr="00466939" w:rsidRDefault="00C57981" w:rsidP="00AB48B3">
            <w:pPr>
              <w:ind w:left="170"/>
              <w:jc w:val="center"/>
              <w:rPr>
                <w:rFonts w:eastAsia="Calibri"/>
                <w:b/>
                <w:color w:val="000000"/>
                <w:lang w:val="hu-HU" w:eastAsia="hu-HU"/>
              </w:rPr>
            </w:pPr>
            <w:r w:rsidRPr="00466939">
              <w:rPr>
                <w:rFonts w:eastAsia="Calibri"/>
                <w:b/>
                <w:color w:val="000000"/>
                <w:lang w:val="hu-HU" w:eastAsia="hu-HU"/>
              </w:rPr>
              <w:t>Felhasználó részéről</w:t>
            </w:r>
          </w:p>
        </w:tc>
      </w:tr>
      <w:tr w:rsidR="00C57981" w:rsidRPr="00466939" w14:paraId="3DDB95F3" w14:textId="77777777" w:rsidTr="00474F51">
        <w:tc>
          <w:tcPr>
            <w:tcW w:w="4644" w:type="dxa"/>
            <w:tcBorders>
              <w:top w:val="nil"/>
              <w:left w:val="nil"/>
              <w:bottom w:val="nil"/>
              <w:right w:val="nil"/>
            </w:tcBorders>
            <w:shd w:val="clear" w:color="auto" w:fill="auto"/>
          </w:tcPr>
          <w:p w14:paraId="11C89B62" w14:textId="77777777" w:rsidR="00C57981" w:rsidRPr="00466939" w:rsidRDefault="00C57981" w:rsidP="00AB48B3">
            <w:pPr>
              <w:jc w:val="both"/>
              <w:rPr>
                <w:rFonts w:eastAsia="Calibri"/>
                <w:color w:val="000000"/>
                <w:lang w:val="hu-HU" w:eastAsia="hu-HU"/>
              </w:rPr>
            </w:pPr>
          </w:p>
        </w:tc>
        <w:tc>
          <w:tcPr>
            <w:tcW w:w="4531" w:type="dxa"/>
            <w:tcBorders>
              <w:top w:val="nil"/>
              <w:left w:val="nil"/>
              <w:bottom w:val="nil"/>
              <w:right w:val="nil"/>
            </w:tcBorders>
            <w:shd w:val="clear" w:color="auto" w:fill="auto"/>
          </w:tcPr>
          <w:p w14:paraId="57FDC781" w14:textId="77777777" w:rsidR="00C57981" w:rsidRPr="00466939" w:rsidRDefault="00C57981" w:rsidP="00AB48B3">
            <w:pPr>
              <w:jc w:val="both"/>
              <w:rPr>
                <w:rFonts w:eastAsia="Calibri"/>
                <w:color w:val="000000"/>
                <w:lang w:val="hu-HU" w:eastAsia="hu-HU"/>
              </w:rPr>
            </w:pPr>
          </w:p>
        </w:tc>
      </w:tr>
      <w:tr w:rsidR="00C57981" w:rsidRPr="00466939" w14:paraId="1D495890" w14:textId="77777777" w:rsidTr="00474F51">
        <w:tc>
          <w:tcPr>
            <w:tcW w:w="4644" w:type="dxa"/>
            <w:tcBorders>
              <w:top w:val="nil"/>
              <w:left w:val="nil"/>
              <w:bottom w:val="nil"/>
              <w:right w:val="nil"/>
            </w:tcBorders>
            <w:shd w:val="clear" w:color="auto" w:fill="auto"/>
          </w:tcPr>
          <w:p w14:paraId="2C146F4F" w14:textId="77777777" w:rsidR="00C57981" w:rsidRPr="00466939" w:rsidRDefault="00C57981" w:rsidP="00AB48B3">
            <w:pPr>
              <w:jc w:val="both"/>
              <w:rPr>
                <w:rFonts w:eastAsia="Calibri"/>
                <w:color w:val="000000"/>
                <w:lang w:val="hu-HU" w:eastAsia="hu-HU"/>
              </w:rPr>
            </w:pPr>
          </w:p>
        </w:tc>
        <w:tc>
          <w:tcPr>
            <w:tcW w:w="4531" w:type="dxa"/>
            <w:tcBorders>
              <w:top w:val="nil"/>
              <w:left w:val="nil"/>
              <w:bottom w:val="nil"/>
              <w:right w:val="nil"/>
            </w:tcBorders>
            <w:shd w:val="clear" w:color="auto" w:fill="auto"/>
          </w:tcPr>
          <w:p w14:paraId="26FEEFFC" w14:textId="77777777" w:rsidR="00C57981" w:rsidRPr="00466939" w:rsidRDefault="00C57981" w:rsidP="00AB48B3">
            <w:pPr>
              <w:jc w:val="both"/>
              <w:rPr>
                <w:rFonts w:eastAsia="Calibri"/>
                <w:color w:val="000000"/>
                <w:lang w:val="hu-HU" w:eastAsia="hu-HU"/>
              </w:rPr>
            </w:pPr>
          </w:p>
        </w:tc>
      </w:tr>
      <w:tr w:rsidR="00C57981" w:rsidRPr="00466939" w14:paraId="7537250D" w14:textId="77777777" w:rsidTr="00474F51">
        <w:tc>
          <w:tcPr>
            <w:tcW w:w="4644" w:type="dxa"/>
            <w:tcBorders>
              <w:top w:val="nil"/>
              <w:left w:val="nil"/>
              <w:bottom w:val="nil"/>
              <w:right w:val="nil"/>
            </w:tcBorders>
            <w:shd w:val="clear" w:color="auto" w:fill="auto"/>
          </w:tcPr>
          <w:p w14:paraId="21D740C4" w14:textId="77777777" w:rsidR="00C57981" w:rsidRPr="00466939" w:rsidRDefault="00C57981" w:rsidP="00AB48B3">
            <w:pPr>
              <w:jc w:val="both"/>
              <w:rPr>
                <w:rFonts w:eastAsia="Calibri"/>
                <w:color w:val="000000"/>
                <w:lang w:val="hu-HU" w:eastAsia="hu-HU"/>
              </w:rPr>
            </w:pPr>
          </w:p>
        </w:tc>
        <w:tc>
          <w:tcPr>
            <w:tcW w:w="4531" w:type="dxa"/>
            <w:tcBorders>
              <w:top w:val="nil"/>
              <w:left w:val="nil"/>
              <w:bottom w:val="nil"/>
              <w:right w:val="nil"/>
            </w:tcBorders>
            <w:shd w:val="clear" w:color="auto" w:fill="auto"/>
          </w:tcPr>
          <w:p w14:paraId="59DC585F" w14:textId="77777777" w:rsidR="00C57981" w:rsidRPr="00466939" w:rsidRDefault="00C57981" w:rsidP="00AB48B3">
            <w:pPr>
              <w:jc w:val="both"/>
              <w:rPr>
                <w:rFonts w:eastAsia="Calibri"/>
                <w:color w:val="000000"/>
                <w:lang w:val="hu-HU" w:eastAsia="hu-HU"/>
              </w:rPr>
            </w:pPr>
          </w:p>
        </w:tc>
      </w:tr>
      <w:tr w:rsidR="00C57981" w:rsidRPr="00466939" w14:paraId="16FAA0AB" w14:textId="77777777" w:rsidTr="00474F51">
        <w:tc>
          <w:tcPr>
            <w:tcW w:w="4644" w:type="dxa"/>
            <w:tcBorders>
              <w:top w:val="nil"/>
              <w:left w:val="nil"/>
              <w:bottom w:val="nil"/>
              <w:right w:val="nil"/>
            </w:tcBorders>
            <w:shd w:val="clear" w:color="auto" w:fill="auto"/>
          </w:tcPr>
          <w:p w14:paraId="5F955D2E" w14:textId="77777777" w:rsidR="00C57981" w:rsidRPr="00466939" w:rsidRDefault="00C57981" w:rsidP="00AB48B3">
            <w:pPr>
              <w:jc w:val="both"/>
              <w:rPr>
                <w:rFonts w:eastAsia="Calibri"/>
                <w:color w:val="000000"/>
                <w:lang w:val="hu-HU" w:eastAsia="hu-HU"/>
              </w:rPr>
            </w:pPr>
            <w:r w:rsidRPr="00466939">
              <w:rPr>
                <w:rFonts w:eastAsia="Calibri"/>
                <w:color w:val="000000"/>
                <w:lang w:val="hu-HU" w:eastAsia="hu-HU"/>
              </w:rPr>
              <w:t>___________________________________</w:t>
            </w:r>
          </w:p>
        </w:tc>
        <w:tc>
          <w:tcPr>
            <w:tcW w:w="4531" w:type="dxa"/>
            <w:tcBorders>
              <w:top w:val="nil"/>
              <w:left w:val="nil"/>
              <w:bottom w:val="nil"/>
              <w:right w:val="nil"/>
            </w:tcBorders>
            <w:shd w:val="clear" w:color="auto" w:fill="auto"/>
          </w:tcPr>
          <w:p w14:paraId="0024987D" w14:textId="77777777" w:rsidR="00C57981" w:rsidRPr="00466939" w:rsidRDefault="00C57981" w:rsidP="00AB48B3">
            <w:pPr>
              <w:jc w:val="both"/>
              <w:rPr>
                <w:rFonts w:eastAsia="Calibri"/>
                <w:color w:val="000000"/>
                <w:lang w:val="hu-HU" w:eastAsia="hu-HU"/>
              </w:rPr>
            </w:pPr>
            <w:r w:rsidRPr="00466939">
              <w:rPr>
                <w:rFonts w:eastAsia="Calibri"/>
                <w:color w:val="000000"/>
                <w:lang w:val="hu-HU" w:eastAsia="hu-HU"/>
              </w:rPr>
              <w:t>___________________________________</w:t>
            </w:r>
          </w:p>
        </w:tc>
      </w:tr>
      <w:tr w:rsidR="00C57981" w:rsidRPr="00466939" w14:paraId="42142547" w14:textId="77777777" w:rsidTr="00474F51">
        <w:tc>
          <w:tcPr>
            <w:tcW w:w="4644" w:type="dxa"/>
            <w:tcBorders>
              <w:top w:val="nil"/>
              <w:left w:val="nil"/>
              <w:bottom w:val="nil"/>
              <w:right w:val="nil"/>
            </w:tcBorders>
            <w:shd w:val="clear" w:color="auto" w:fill="auto"/>
          </w:tcPr>
          <w:p w14:paraId="27F28EE0" w14:textId="77777777" w:rsidR="00C57981" w:rsidRPr="00466939" w:rsidRDefault="00C57981" w:rsidP="00AB48B3">
            <w:pPr>
              <w:spacing w:before="240" w:after="240"/>
              <w:jc w:val="center"/>
              <w:rPr>
                <w:rFonts w:eastAsia="Calibri"/>
                <w:b/>
                <w:color w:val="000000"/>
                <w:lang w:val="hu-HU" w:eastAsia="hu-HU"/>
              </w:rPr>
            </w:pPr>
            <w:r w:rsidRPr="00466939">
              <w:rPr>
                <w:rFonts w:eastAsia="Calibri"/>
                <w:b/>
                <w:color w:val="000000"/>
                <w:lang w:val="hu-HU" w:eastAsia="hu-HU"/>
              </w:rPr>
              <w:t>……………………………..</w:t>
            </w:r>
          </w:p>
          <w:p w14:paraId="1F5FE58D" w14:textId="77777777" w:rsidR="00C57981" w:rsidRPr="00466939" w:rsidRDefault="00C57981" w:rsidP="00AB48B3">
            <w:pPr>
              <w:spacing w:before="240" w:after="240"/>
              <w:jc w:val="center"/>
              <w:rPr>
                <w:rFonts w:eastAsia="Calibri"/>
                <w:lang w:val="hu-HU" w:eastAsia="hu-HU"/>
              </w:rPr>
            </w:pPr>
            <w:r w:rsidRPr="00466939">
              <w:rPr>
                <w:rFonts w:eastAsia="Calibri"/>
                <w:color w:val="000000"/>
                <w:lang w:val="hu-HU" w:eastAsia="hu-HU"/>
              </w:rPr>
              <w:t>……………………………</w:t>
            </w:r>
          </w:p>
        </w:tc>
        <w:tc>
          <w:tcPr>
            <w:tcW w:w="4531" w:type="dxa"/>
            <w:tcBorders>
              <w:top w:val="nil"/>
              <w:left w:val="nil"/>
              <w:bottom w:val="nil"/>
              <w:right w:val="nil"/>
            </w:tcBorders>
            <w:shd w:val="clear" w:color="auto" w:fill="auto"/>
          </w:tcPr>
          <w:p w14:paraId="3CF6046D" w14:textId="77777777" w:rsidR="001810CF" w:rsidRPr="00466939" w:rsidRDefault="00C57981" w:rsidP="00AB48B3">
            <w:pPr>
              <w:spacing w:before="240" w:after="240"/>
              <w:jc w:val="center"/>
              <w:rPr>
                <w:rFonts w:eastAsia="Calibri"/>
                <w:b/>
                <w:color w:val="000000"/>
                <w:lang w:val="hu-HU" w:eastAsia="hu-HU"/>
              </w:rPr>
            </w:pPr>
            <w:r w:rsidRPr="00466939">
              <w:rPr>
                <w:rFonts w:eastAsia="Calibri"/>
                <w:b/>
                <w:color w:val="000000"/>
                <w:lang w:val="hu-HU" w:eastAsia="hu-HU"/>
              </w:rPr>
              <w:t>……………………………..</w:t>
            </w:r>
          </w:p>
          <w:p w14:paraId="451497E6" w14:textId="77777777" w:rsidR="00C57981" w:rsidRPr="00466939" w:rsidRDefault="001810CF" w:rsidP="00AB48B3">
            <w:pPr>
              <w:jc w:val="center"/>
              <w:rPr>
                <w:rFonts w:eastAsia="Calibri"/>
                <w:lang w:val="hu-HU" w:eastAsia="hu-HU"/>
              </w:rPr>
            </w:pPr>
            <w:r w:rsidRPr="00466939">
              <w:rPr>
                <w:rFonts w:eastAsia="Calibri"/>
                <w:color w:val="000000"/>
                <w:lang w:val="hu-HU" w:eastAsia="hu-HU"/>
              </w:rPr>
              <w:t>……………………………</w:t>
            </w:r>
          </w:p>
        </w:tc>
      </w:tr>
      <w:tr w:rsidR="00C57981" w:rsidRPr="00466939" w14:paraId="7D2E3E4E" w14:textId="77777777" w:rsidTr="00474F51">
        <w:tc>
          <w:tcPr>
            <w:tcW w:w="4644" w:type="dxa"/>
            <w:tcBorders>
              <w:top w:val="nil"/>
              <w:left w:val="nil"/>
              <w:bottom w:val="nil"/>
              <w:right w:val="nil"/>
            </w:tcBorders>
            <w:shd w:val="clear" w:color="auto" w:fill="auto"/>
          </w:tcPr>
          <w:p w14:paraId="19E6DCA7" w14:textId="77777777" w:rsidR="00C57981" w:rsidRPr="00466939" w:rsidRDefault="00C57981" w:rsidP="00AB48B3">
            <w:pPr>
              <w:spacing w:after="40"/>
              <w:jc w:val="both"/>
              <w:rPr>
                <w:rFonts w:eastAsia="Calibri"/>
                <w:color w:val="000000"/>
                <w:lang w:val="hu-HU" w:eastAsia="hu-HU"/>
              </w:rPr>
            </w:pPr>
          </w:p>
        </w:tc>
        <w:tc>
          <w:tcPr>
            <w:tcW w:w="4531" w:type="dxa"/>
            <w:tcBorders>
              <w:top w:val="nil"/>
              <w:left w:val="nil"/>
              <w:bottom w:val="nil"/>
              <w:right w:val="nil"/>
            </w:tcBorders>
            <w:shd w:val="clear" w:color="auto" w:fill="auto"/>
          </w:tcPr>
          <w:p w14:paraId="48ABAD90" w14:textId="77777777" w:rsidR="00C57981" w:rsidRPr="00466939" w:rsidRDefault="00C57981" w:rsidP="00AB48B3">
            <w:pPr>
              <w:spacing w:after="40"/>
              <w:jc w:val="both"/>
              <w:rPr>
                <w:rFonts w:eastAsia="Calibri"/>
                <w:color w:val="000000"/>
                <w:lang w:val="hu-HU" w:eastAsia="hu-HU"/>
              </w:rPr>
            </w:pPr>
          </w:p>
        </w:tc>
      </w:tr>
      <w:tr w:rsidR="00C57981" w:rsidRPr="00466939" w14:paraId="63A31F82" w14:textId="77777777" w:rsidTr="00474F51">
        <w:tc>
          <w:tcPr>
            <w:tcW w:w="4644" w:type="dxa"/>
            <w:tcBorders>
              <w:top w:val="nil"/>
              <w:left w:val="nil"/>
              <w:bottom w:val="nil"/>
              <w:right w:val="nil"/>
            </w:tcBorders>
            <w:shd w:val="clear" w:color="auto" w:fill="auto"/>
          </w:tcPr>
          <w:p w14:paraId="72194419" w14:textId="309F2A6F" w:rsidR="00C57981" w:rsidRPr="00466939" w:rsidRDefault="00C57981" w:rsidP="00AB48B3">
            <w:pPr>
              <w:spacing w:after="40"/>
              <w:jc w:val="both"/>
              <w:rPr>
                <w:rFonts w:eastAsia="Calibri"/>
                <w:color w:val="000000"/>
                <w:lang w:val="hu-HU" w:eastAsia="hu-HU"/>
              </w:rPr>
            </w:pPr>
            <w:r w:rsidRPr="00466939">
              <w:rPr>
                <w:rFonts w:eastAsia="Calibri"/>
                <w:color w:val="000000"/>
                <w:lang w:val="hu-HU" w:eastAsia="hu-HU"/>
              </w:rPr>
              <w:t xml:space="preserve">Dátum: ________, </w:t>
            </w:r>
            <w:r w:rsidR="00857D4A">
              <w:rPr>
                <w:rFonts w:eastAsia="Calibri"/>
                <w:color w:val="000000"/>
                <w:lang w:val="hu-HU" w:eastAsia="hu-HU"/>
              </w:rPr>
              <w:t xml:space="preserve">20_ </w:t>
            </w:r>
            <w:proofErr w:type="gramStart"/>
            <w:r w:rsidR="00857D4A">
              <w:rPr>
                <w:rFonts w:eastAsia="Calibri"/>
                <w:color w:val="000000"/>
                <w:lang w:val="hu-HU" w:eastAsia="hu-HU"/>
              </w:rPr>
              <w:t>_</w:t>
            </w:r>
            <w:r w:rsidRPr="00466939">
              <w:rPr>
                <w:rFonts w:eastAsia="Calibri"/>
                <w:color w:val="000000"/>
                <w:lang w:val="hu-HU" w:eastAsia="hu-HU"/>
              </w:rPr>
              <w:t>._</w:t>
            </w:r>
            <w:proofErr w:type="gramEnd"/>
            <w:r w:rsidRPr="00466939">
              <w:rPr>
                <w:rFonts w:eastAsia="Calibri"/>
                <w:color w:val="000000"/>
                <w:lang w:val="hu-HU" w:eastAsia="hu-HU"/>
              </w:rPr>
              <w:t>______________</w:t>
            </w:r>
          </w:p>
        </w:tc>
        <w:tc>
          <w:tcPr>
            <w:tcW w:w="4531" w:type="dxa"/>
            <w:tcBorders>
              <w:top w:val="nil"/>
              <w:left w:val="nil"/>
              <w:bottom w:val="nil"/>
              <w:right w:val="nil"/>
            </w:tcBorders>
            <w:shd w:val="clear" w:color="auto" w:fill="auto"/>
          </w:tcPr>
          <w:p w14:paraId="4E566665" w14:textId="7E752E50" w:rsidR="00C57981" w:rsidRPr="00466939" w:rsidRDefault="00C57981" w:rsidP="00AB48B3">
            <w:pPr>
              <w:spacing w:after="40"/>
              <w:jc w:val="both"/>
              <w:rPr>
                <w:rFonts w:eastAsia="Calibri"/>
                <w:color w:val="000000"/>
                <w:lang w:val="hu-HU" w:eastAsia="hu-HU"/>
              </w:rPr>
            </w:pPr>
            <w:r w:rsidRPr="00466939">
              <w:rPr>
                <w:rFonts w:eastAsia="Calibri"/>
                <w:color w:val="000000"/>
                <w:lang w:val="hu-HU" w:eastAsia="hu-HU"/>
              </w:rPr>
              <w:t>Dátum: ________, 20</w:t>
            </w:r>
            <w:r w:rsidR="00857D4A">
              <w:rPr>
                <w:rFonts w:eastAsia="Calibri"/>
                <w:color w:val="000000"/>
                <w:lang w:val="hu-HU" w:eastAsia="hu-HU"/>
              </w:rPr>
              <w:t xml:space="preserve">_ </w:t>
            </w:r>
            <w:proofErr w:type="gramStart"/>
            <w:r w:rsidR="00857D4A">
              <w:rPr>
                <w:rFonts w:eastAsia="Calibri"/>
                <w:color w:val="000000"/>
                <w:lang w:val="hu-HU" w:eastAsia="hu-HU"/>
              </w:rPr>
              <w:t>_</w:t>
            </w:r>
            <w:r w:rsidRPr="00466939">
              <w:rPr>
                <w:rFonts w:eastAsia="Calibri"/>
                <w:color w:val="000000"/>
                <w:lang w:val="hu-HU" w:eastAsia="hu-HU"/>
              </w:rPr>
              <w:t>._</w:t>
            </w:r>
            <w:proofErr w:type="gramEnd"/>
            <w:r w:rsidRPr="00466939">
              <w:rPr>
                <w:rFonts w:eastAsia="Calibri"/>
                <w:color w:val="000000"/>
                <w:lang w:val="hu-HU" w:eastAsia="hu-HU"/>
              </w:rPr>
              <w:t>______________</w:t>
            </w:r>
          </w:p>
        </w:tc>
      </w:tr>
      <w:tr w:rsidR="00C57981" w:rsidRPr="00466939" w14:paraId="26982F0D" w14:textId="77777777" w:rsidTr="00474F51">
        <w:tc>
          <w:tcPr>
            <w:tcW w:w="4644" w:type="dxa"/>
            <w:tcBorders>
              <w:top w:val="nil"/>
              <w:left w:val="nil"/>
              <w:bottom w:val="nil"/>
              <w:right w:val="nil"/>
            </w:tcBorders>
            <w:shd w:val="clear" w:color="auto" w:fill="auto"/>
          </w:tcPr>
          <w:p w14:paraId="03FCB0DF" w14:textId="77777777" w:rsidR="00C57981" w:rsidRPr="00466939" w:rsidRDefault="00C57981" w:rsidP="00AB48B3">
            <w:pPr>
              <w:spacing w:after="40"/>
              <w:jc w:val="both"/>
              <w:rPr>
                <w:rFonts w:eastAsia="Calibri"/>
                <w:color w:val="000000"/>
                <w:lang w:val="hu-HU" w:eastAsia="hu-HU"/>
              </w:rPr>
            </w:pPr>
          </w:p>
          <w:p w14:paraId="101A0B0B" w14:textId="77777777" w:rsidR="00C57981" w:rsidRPr="00466939" w:rsidRDefault="00C57981" w:rsidP="00AB48B3">
            <w:pPr>
              <w:spacing w:after="40"/>
              <w:jc w:val="both"/>
              <w:rPr>
                <w:rFonts w:eastAsia="Calibri"/>
                <w:color w:val="000000"/>
                <w:lang w:val="hu-HU" w:eastAsia="hu-HU"/>
              </w:rPr>
            </w:pPr>
          </w:p>
        </w:tc>
        <w:tc>
          <w:tcPr>
            <w:tcW w:w="4531" w:type="dxa"/>
            <w:tcBorders>
              <w:top w:val="nil"/>
              <w:left w:val="nil"/>
              <w:bottom w:val="nil"/>
              <w:right w:val="nil"/>
            </w:tcBorders>
            <w:shd w:val="clear" w:color="auto" w:fill="auto"/>
          </w:tcPr>
          <w:p w14:paraId="52266908" w14:textId="77777777" w:rsidR="00C57981" w:rsidRPr="00466939" w:rsidRDefault="00C57981" w:rsidP="00AB48B3">
            <w:pPr>
              <w:spacing w:after="40"/>
              <w:jc w:val="both"/>
              <w:rPr>
                <w:rFonts w:eastAsia="Calibri"/>
                <w:color w:val="000000"/>
                <w:lang w:val="hu-HU" w:eastAsia="hu-HU"/>
              </w:rPr>
            </w:pPr>
          </w:p>
        </w:tc>
      </w:tr>
      <w:tr w:rsidR="00C57981" w:rsidRPr="00466939" w14:paraId="7BB52507" w14:textId="77777777" w:rsidTr="00474F51">
        <w:tc>
          <w:tcPr>
            <w:tcW w:w="4644" w:type="dxa"/>
            <w:tcBorders>
              <w:top w:val="nil"/>
              <w:left w:val="nil"/>
              <w:bottom w:val="nil"/>
              <w:right w:val="nil"/>
            </w:tcBorders>
            <w:shd w:val="clear" w:color="auto" w:fill="auto"/>
          </w:tcPr>
          <w:p w14:paraId="3751C2B7" w14:textId="77777777" w:rsidR="00C57981" w:rsidRPr="00466939" w:rsidRDefault="00C57981" w:rsidP="00AB48B3">
            <w:pPr>
              <w:spacing w:after="40"/>
              <w:jc w:val="both"/>
              <w:rPr>
                <w:rFonts w:eastAsia="Calibri"/>
                <w:color w:val="000000"/>
                <w:lang w:val="hu-HU" w:eastAsia="hu-HU"/>
              </w:rPr>
            </w:pPr>
          </w:p>
        </w:tc>
        <w:tc>
          <w:tcPr>
            <w:tcW w:w="4531" w:type="dxa"/>
            <w:tcBorders>
              <w:top w:val="nil"/>
              <w:left w:val="nil"/>
              <w:bottom w:val="nil"/>
              <w:right w:val="nil"/>
            </w:tcBorders>
            <w:shd w:val="clear" w:color="auto" w:fill="auto"/>
          </w:tcPr>
          <w:p w14:paraId="56A7BAC6" w14:textId="77777777" w:rsidR="00C57981" w:rsidRPr="00466939" w:rsidRDefault="00C57981" w:rsidP="00AB48B3">
            <w:pPr>
              <w:spacing w:after="40"/>
              <w:jc w:val="both"/>
              <w:rPr>
                <w:rFonts w:eastAsia="Calibri"/>
                <w:color w:val="000000"/>
                <w:lang w:val="hu-HU" w:eastAsia="hu-HU"/>
              </w:rPr>
            </w:pPr>
          </w:p>
        </w:tc>
      </w:tr>
    </w:tbl>
    <w:p w14:paraId="6F5A7B58" w14:textId="77777777" w:rsidR="0023146D" w:rsidRPr="00466939" w:rsidRDefault="0023146D" w:rsidP="00AB48B3">
      <w:pPr>
        <w:jc w:val="both"/>
        <w:rPr>
          <w:lang w:val="hu-HU"/>
        </w:rPr>
      </w:pPr>
    </w:p>
    <w:sectPr w:rsidR="0023146D" w:rsidRPr="00466939" w:rsidSect="008D5D9B">
      <w:footerReference w:type="default" r:id="rId9"/>
      <w:headerReference w:type="first" r:id="rId10"/>
      <w:pgSz w:w="11900" w:h="16840" w:code="9"/>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8915" w14:textId="77777777" w:rsidR="00336D69" w:rsidRDefault="00336D69">
      <w:r>
        <w:separator/>
      </w:r>
    </w:p>
  </w:endnote>
  <w:endnote w:type="continuationSeparator" w:id="0">
    <w:p w14:paraId="2EA08C13" w14:textId="77777777" w:rsidR="00336D69" w:rsidRDefault="0033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111685"/>
      <w:docPartObj>
        <w:docPartGallery w:val="Page Numbers (Bottom of Page)"/>
        <w:docPartUnique/>
      </w:docPartObj>
    </w:sdtPr>
    <w:sdtEndPr>
      <w:rPr>
        <w:sz w:val="20"/>
        <w:szCs w:val="20"/>
      </w:rPr>
    </w:sdtEndPr>
    <w:sdtContent>
      <w:sdt>
        <w:sdtPr>
          <w:id w:val="-1705238520"/>
          <w:docPartObj>
            <w:docPartGallery w:val="Page Numbers (Top of Page)"/>
            <w:docPartUnique/>
          </w:docPartObj>
        </w:sdtPr>
        <w:sdtEndPr>
          <w:rPr>
            <w:sz w:val="20"/>
            <w:szCs w:val="20"/>
          </w:rPr>
        </w:sdtEndPr>
        <w:sdtContent>
          <w:p w14:paraId="79EFF2E1" w14:textId="58884D25" w:rsidR="007026BB" w:rsidRPr="007026BB" w:rsidRDefault="007026BB" w:rsidP="007026BB">
            <w:pPr>
              <w:pStyle w:val="llb"/>
              <w:jc w:val="center"/>
              <w:rPr>
                <w:sz w:val="20"/>
                <w:szCs w:val="20"/>
              </w:rPr>
            </w:pPr>
            <w:r w:rsidRPr="007026BB">
              <w:rPr>
                <w:sz w:val="20"/>
                <w:szCs w:val="20"/>
                <w:lang w:val="hu-HU"/>
              </w:rPr>
              <w:t xml:space="preserve">oldal </w:t>
            </w:r>
            <w:r w:rsidRPr="007026BB">
              <w:rPr>
                <w:sz w:val="20"/>
                <w:szCs w:val="20"/>
              </w:rPr>
              <w:fldChar w:fldCharType="begin"/>
            </w:r>
            <w:r w:rsidRPr="007026BB">
              <w:rPr>
                <w:sz w:val="20"/>
                <w:szCs w:val="20"/>
              </w:rPr>
              <w:instrText>PAGE</w:instrText>
            </w:r>
            <w:r w:rsidRPr="007026BB">
              <w:rPr>
                <w:sz w:val="20"/>
                <w:szCs w:val="20"/>
              </w:rPr>
              <w:fldChar w:fldCharType="separate"/>
            </w:r>
            <w:r w:rsidRPr="007026BB">
              <w:rPr>
                <w:sz w:val="20"/>
                <w:szCs w:val="20"/>
                <w:lang w:val="hu-HU"/>
              </w:rPr>
              <w:t>2</w:t>
            </w:r>
            <w:r w:rsidRPr="007026BB">
              <w:rPr>
                <w:sz w:val="20"/>
                <w:szCs w:val="20"/>
              </w:rPr>
              <w:fldChar w:fldCharType="end"/>
            </w:r>
            <w:r w:rsidRPr="007026BB">
              <w:rPr>
                <w:sz w:val="20"/>
                <w:szCs w:val="20"/>
                <w:lang w:val="hu-HU"/>
              </w:rPr>
              <w:t xml:space="preserve"> / </w:t>
            </w:r>
            <w:r w:rsidRPr="007026BB">
              <w:rPr>
                <w:sz w:val="20"/>
                <w:szCs w:val="20"/>
              </w:rPr>
              <w:fldChar w:fldCharType="begin"/>
            </w:r>
            <w:r w:rsidRPr="007026BB">
              <w:rPr>
                <w:sz w:val="20"/>
                <w:szCs w:val="20"/>
              </w:rPr>
              <w:instrText>NUMPAGES</w:instrText>
            </w:r>
            <w:r w:rsidRPr="007026BB">
              <w:rPr>
                <w:sz w:val="20"/>
                <w:szCs w:val="20"/>
              </w:rPr>
              <w:fldChar w:fldCharType="separate"/>
            </w:r>
            <w:r w:rsidRPr="007026BB">
              <w:rPr>
                <w:sz w:val="20"/>
                <w:szCs w:val="20"/>
                <w:lang w:val="hu-HU"/>
              </w:rPr>
              <w:t>2</w:t>
            </w:r>
            <w:r w:rsidRPr="007026BB">
              <w:rPr>
                <w:sz w:val="20"/>
                <w:szCs w:val="20"/>
              </w:rPr>
              <w:fldChar w:fldCharType="end"/>
            </w:r>
          </w:p>
        </w:sdtContent>
      </w:sdt>
    </w:sdtContent>
  </w:sdt>
  <w:p w14:paraId="7DD77BB2" w14:textId="77777777" w:rsidR="007026BB" w:rsidRDefault="007026B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1BB9" w14:textId="77777777" w:rsidR="00336D69" w:rsidRDefault="00336D69">
      <w:r>
        <w:separator/>
      </w:r>
    </w:p>
  </w:footnote>
  <w:footnote w:type="continuationSeparator" w:id="0">
    <w:p w14:paraId="78E0DED3" w14:textId="77777777" w:rsidR="00336D69" w:rsidRDefault="00336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A957" w14:textId="2FC3B1D4" w:rsidR="008D5D9B" w:rsidRDefault="00A81F6E">
    <w:pPr>
      <w:pStyle w:val="lfej"/>
    </w:pPr>
    <w:r w:rsidRPr="00072FCF">
      <w:rPr>
        <w:noProof/>
        <w:lang w:val="hu-HU" w:eastAsia="hu-HU"/>
      </w:rPr>
      <w:drawing>
        <wp:inline distT="0" distB="0" distL="0" distR="0" wp14:anchorId="1CF251F5" wp14:editId="1BB2A72A">
          <wp:extent cx="5762625" cy="1152525"/>
          <wp:effectExtent l="0" t="0" r="0" b="0"/>
          <wp:docPr id="1" name="Kép 1" descr="nki_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ki_l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152525"/>
                  </a:xfrm>
                  <a:prstGeom prst="rect">
                    <a:avLst/>
                  </a:prstGeom>
                  <a:noFill/>
                  <a:ln>
                    <a:noFill/>
                  </a:ln>
                </pic:spPr>
              </pic:pic>
            </a:graphicData>
          </a:graphic>
        </wp:inline>
      </w:drawing>
    </w:r>
  </w:p>
  <w:p w14:paraId="721752EF" w14:textId="77777777" w:rsidR="008D5D9B" w:rsidRDefault="008D5D9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A634B"/>
    <w:multiLevelType w:val="hybridMultilevel"/>
    <w:tmpl w:val="007861D6"/>
    <w:lvl w:ilvl="0" w:tplc="933E4A76">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 w15:restartNumberingAfterBreak="0">
    <w:nsid w:val="48745AD1"/>
    <w:multiLevelType w:val="multilevel"/>
    <w:tmpl w:val="9798137A"/>
    <w:lvl w:ilvl="0">
      <w:start w:val="18"/>
      <w:numFmt w:val="decimal"/>
      <w:lvlText w:val="%1."/>
      <w:lvlJc w:val="left"/>
      <w:pPr>
        <w:ind w:left="1287" w:hanging="360"/>
      </w:pPr>
      <w:rPr>
        <w:rFonts w:hint="default"/>
      </w:rPr>
    </w:lvl>
    <w:lvl w:ilvl="1">
      <w:start w:val="1"/>
      <w:numFmt w:val="decimal"/>
      <w:isLgl/>
      <w:lvlText w:val="%1.%2."/>
      <w:lvlJc w:val="left"/>
      <w:pPr>
        <w:ind w:left="1407" w:hanging="480"/>
      </w:pPr>
      <w:rPr>
        <w:rFonts w:ascii="Times New Roman" w:hAnsi="Times New Roman" w:cs="Times New Roman" w:hint="default"/>
        <w:b w:val="0"/>
        <w:spacing w:val="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7BF660EB"/>
    <w:multiLevelType w:val="hybridMultilevel"/>
    <w:tmpl w:val="A934D0A2"/>
    <w:lvl w:ilvl="0" w:tplc="63181346">
      <w:start w:val="3"/>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A8"/>
    <w:rsid w:val="00004790"/>
    <w:rsid w:val="000169A6"/>
    <w:rsid w:val="000344A8"/>
    <w:rsid w:val="0004100E"/>
    <w:rsid w:val="00052139"/>
    <w:rsid w:val="00055F16"/>
    <w:rsid w:val="00072FCF"/>
    <w:rsid w:val="000962D7"/>
    <w:rsid w:val="000C0BD1"/>
    <w:rsid w:val="000E08F6"/>
    <w:rsid w:val="000E45DF"/>
    <w:rsid w:val="000F3A63"/>
    <w:rsid w:val="000F699C"/>
    <w:rsid w:val="00100BD7"/>
    <w:rsid w:val="001536C3"/>
    <w:rsid w:val="00165B90"/>
    <w:rsid w:val="001810CF"/>
    <w:rsid w:val="001951CA"/>
    <w:rsid w:val="001A2433"/>
    <w:rsid w:val="001B791C"/>
    <w:rsid w:val="001C3097"/>
    <w:rsid w:val="00214741"/>
    <w:rsid w:val="00214A5A"/>
    <w:rsid w:val="00227CD6"/>
    <w:rsid w:val="0023146D"/>
    <w:rsid w:val="00235A8C"/>
    <w:rsid w:val="00243BC0"/>
    <w:rsid w:val="002702ED"/>
    <w:rsid w:val="002839D2"/>
    <w:rsid w:val="002D710B"/>
    <w:rsid w:val="002F7B73"/>
    <w:rsid w:val="003003D0"/>
    <w:rsid w:val="00335555"/>
    <w:rsid w:val="00336D69"/>
    <w:rsid w:val="00352A2D"/>
    <w:rsid w:val="00373378"/>
    <w:rsid w:val="00383BC2"/>
    <w:rsid w:val="00387E44"/>
    <w:rsid w:val="003D22F3"/>
    <w:rsid w:val="003E6F7A"/>
    <w:rsid w:val="003E79F6"/>
    <w:rsid w:val="004000BD"/>
    <w:rsid w:val="004077FB"/>
    <w:rsid w:val="004501D2"/>
    <w:rsid w:val="0045033E"/>
    <w:rsid w:val="00466939"/>
    <w:rsid w:val="0047328C"/>
    <w:rsid w:val="00474F51"/>
    <w:rsid w:val="004A22D6"/>
    <w:rsid w:val="004B3C07"/>
    <w:rsid w:val="004B594B"/>
    <w:rsid w:val="004C06EA"/>
    <w:rsid w:val="00511687"/>
    <w:rsid w:val="00594299"/>
    <w:rsid w:val="005D666E"/>
    <w:rsid w:val="005E3DE2"/>
    <w:rsid w:val="005F127A"/>
    <w:rsid w:val="00600D20"/>
    <w:rsid w:val="006306FC"/>
    <w:rsid w:val="00634D5B"/>
    <w:rsid w:val="006543B5"/>
    <w:rsid w:val="00657C23"/>
    <w:rsid w:val="006775CC"/>
    <w:rsid w:val="00686CC0"/>
    <w:rsid w:val="006B3B1F"/>
    <w:rsid w:val="006E60B7"/>
    <w:rsid w:val="007026BB"/>
    <w:rsid w:val="007210B2"/>
    <w:rsid w:val="00736203"/>
    <w:rsid w:val="00745088"/>
    <w:rsid w:val="00745C93"/>
    <w:rsid w:val="00752AA8"/>
    <w:rsid w:val="00755FB1"/>
    <w:rsid w:val="007818E3"/>
    <w:rsid w:val="00857D4A"/>
    <w:rsid w:val="00871F0E"/>
    <w:rsid w:val="008C62E0"/>
    <w:rsid w:val="008D5D9B"/>
    <w:rsid w:val="00905EAB"/>
    <w:rsid w:val="00913DC1"/>
    <w:rsid w:val="0091536E"/>
    <w:rsid w:val="009211F6"/>
    <w:rsid w:val="00946F9C"/>
    <w:rsid w:val="009743C3"/>
    <w:rsid w:val="009767F2"/>
    <w:rsid w:val="009B3710"/>
    <w:rsid w:val="009F1FD0"/>
    <w:rsid w:val="00A16EE6"/>
    <w:rsid w:val="00A20AC6"/>
    <w:rsid w:val="00A24F6E"/>
    <w:rsid w:val="00A42BBF"/>
    <w:rsid w:val="00A64A7C"/>
    <w:rsid w:val="00A75CCF"/>
    <w:rsid w:val="00A8016B"/>
    <w:rsid w:val="00A81B74"/>
    <w:rsid w:val="00A81F6E"/>
    <w:rsid w:val="00A9209E"/>
    <w:rsid w:val="00A9560D"/>
    <w:rsid w:val="00AB48B3"/>
    <w:rsid w:val="00AF40E0"/>
    <w:rsid w:val="00B1493D"/>
    <w:rsid w:val="00B16BC9"/>
    <w:rsid w:val="00B219AF"/>
    <w:rsid w:val="00B3491D"/>
    <w:rsid w:val="00B53F63"/>
    <w:rsid w:val="00B55F9F"/>
    <w:rsid w:val="00B60E9B"/>
    <w:rsid w:val="00B8587F"/>
    <w:rsid w:val="00BE170C"/>
    <w:rsid w:val="00BF091A"/>
    <w:rsid w:val="00C57981"/>
    <w:rsid w:val="00C74B65"/>
    <w:rsid w:val="00C77F14"/>
    <w:rsid w:val="00C818DD"/>
    <w:rsid w:val="00C91415"/>
    <w:rsid w:val="00C94D7F"/>
    <w:rsid w:val="00CA5A7D"/>
    <w:rsid w:val="00CB522A"/>
    <w:rsid w:val="00CC6A54"/>
    <w:rsid w:val="00D45574"/>
    <w:rsid w:val="00D545C5"/>
    <w:rsid w:val="00DA5626"/>
    <w:rsid w:val="00DD75FB"/>
    <w:rsid w:val="00E0717B"/>
    <w:rsid w:val="00E11263"/>
    <w:rsid w:val="00E36946"/>
    <w:rsid w:val="00E61737"/>
    <w:rsid w:val="00E66C72"/>
    <w:rsid w:val="00E94ABB"/>
    <w:rsid w:val="00E97F23"/>
    <w:rsid w:val="00EA1F89"/>
    <w:rsid w:val="00EB3970"/>
    <w:rsid w:val="00EF2193"/>
    <w:rsid w:val="00F008A9"/>
    <w:rsid w:val="00F61059"/>
    <w:rsid w:val="00F61176"/>
    <w:rsid w:val="00F80971"/>
    <w:rsid w:val="00F83598"/>
    <w:rsid w:val="00FC1B90"/>
    <w:rsid w:val="00FC6877"/>
    <w:rsid w:val="00FF5A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D1F1D17"/>
  <w15:chartTrackingRefBased/>
  <w15:docId w15:val="{982DEBC8-B722-40B2-A1C5-5A7908C9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E60B7"/>
    <w:rPr>
      <w:sz w:val="24"/>
      <w:szCs w:val="24"/>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03E0E"/>
    <w:pPr>
      <w:tabs>
        <w:tab w:val="center" w:pos="4320"/>
        <w:tab w:val="right" w:pos="8640"/>
      </w:tabs>
    </w:pPr>
  </w:style>
  <w:style w:type="paragraph" w:styleId="llb">
    <w:name w:val="footer"/>
    <w:basedOn w:val="Norml"/>
    <w:link w:val="llbChar"/>
    <w:uiPriority w:val="99"/>
    <w:rsid w:val="00203E0E"/>
    <w:pPr>
      <w:tabs>
        <w:tab w:val="center" w:pos="4320"/>
        <w:tab w:val="right" w:pos="8640"/>
      </w:tabs>
    </w:pPr>
  </w:style>
  <w:style w:type="paragraph" w:styleId="Buborkszveg">
    <w:name w:val="Balloon Text"/>
    <w:basedOn w:val="Norml"/>
    <w:link w:val="BuborkszvegChar"/>
    <w:uiPriority w:val="99"/>
    <w:semiHidden/>
    <w:unhideWhenUsed/>
    <w:rsid w:val="00214A5A"/>
    <w:rPr>
      <w:rFonts w:ascii="Tahoma" w:hAnsi="Tahoma" w:cs="Tahoma"/>
      <w:sz w:val="16"/>
      <w:szCs w:val="16"/>
    </w:rPr>
  </w:style>
  <w:style w:type="character" w:customStyle="1" w:styleId="BuborkszvegChar">
    <w:name w:val="Buborékszöveg Char"/>
    <w:link w:val="Buborkszveg"/>
    <w:uiPriority w:val="99"/>
    <w:semiHidden/>
    <w:rsid w:val="00214A5A"/>
    <w:rPr>
      <w:rFonts w:ascii="Tahoma" w:hAnsi="Tahoma" w:cs="Tahoma"/>
      <w:sz w:val="16"/>
      <w:szCs w:val="16"/>
      <w:lang w:val="en-US" w:eastAsia="en-US"/>
    </w:rPr>
  </w:style>
  <w:style w:type="paragraph" w:styleId="Listaszerbekezds">
    <w:name w:val="List Paragraph"/>
    <w:basedOn w:val="Norml"/>
    <w:uiPriority w:val="34"/>
    <w:qFormat/>
    <w:rsid w:val="001951CA"/>
    <w:pPr>
      <w:ind w:left="720"/>
      <w:contextualSpacing/>
    </w:pPr>
  </w:style>
  <w:style w:type="paragraph" w:styleId="NormlWeb">
    <w:name w:val="Normal (Web)"/>
    <w:basedOn w:val="Norml"/>
    <w:semiHidden/>
    <w:rsid w:val="00235A8C"/>
    <w:pPr>
      <w:spacing w:before="100" w:beforeAutospacing="1" w:after="100" w:afterAutospacing="1"/>
    </w:pPr>
    <w:rPr>
      <w:lang w:val="hu-HU" w:eastAsia="hu-HU"/>
    </w:rPr>
  </w:style>
  <w:style w:type="paragraph" w:styleId="Szvegtrzsbehzssal">
    <w:name w:val="Body Text Indent"/>
    <w:basedOn w:val="Norml"/>
    <w:link w:val="SzvegtrzsbehzssalChar"/>
    <w:semiHidden/>
    <w:rsid w:val="00235A8C"/>
    <w:pPr>
      <w:ind w:firstLine="708"/>
      <w:jc w:val="both"/>
    </w:pPr>
    <w:rPr>
      <w:szCs w:val="20"/>
      <w:lang w:val="hu-HU" w:eastAsia="hu-HU"/>
    </w:rPr>
  </w:style>
  <w:style w:type="character" w:customStyle="1" w:styleId="SzvegtrzsbehzssalChar">
    <w:name w:val="Szövegtörzs behúzással Char"/>
    <w:link w:val="Szvegtrzsbehzssal"/>
    <w:semiHidden/>
    <w:rsid w:val="00235A8C"/>
    <w:rPr>
      <w:sz w:val="24"/>
    </w:rPr>
  </w:style>
  <w:style w:type="paragraph" w:styleId="Szvegtrzs2">
    <w:name w:val="Body Text 2"/>
    <w:basedOn w:val="Norml"/>
    <w:link w:val="Szvegtrzs2Char"/>
    <w:semiHidden/>
    <w:rsid w:val="00235A8C"/>
    <w:pPr>
      <w:spacing w:line="360" w:lineRule="auto"/>
    </w:pPr>
    <w:rPr>
      <w:szCs w:val="20"/>
      <w:lang w:val="hu-HU" w:eastAsia="hu-HU"/>
    </w:rPr>
  </w:style>
  <w:style w:type="character" w:customStyle="1" w:styleId="Szvegtrzs2Char">
    <w:name w:val="Szövegtörzs 2 Char"/>
    <w:link w:val="Szvegtrzs2"/>
    <w:semiHidden/>
    <w:rsid w:val="00235A8C"/>
    <w:rPr>
      <w:sz w:val="24"/>
    </w:rPr>
  </w:style>
  <w:style w:type="character" w:styleId="Jegyzethivatkozs">
    <w:name w:val="annotation reference"/>
    <w:uiPriority w:val="99"/>
    <w:semiHidden/>
    <w:unhideWhenUsed/>
    <w:rsid w:val="00B1493D"/>
    <w:rPr>
      <w:sz w:val="16"/>
      <w:szCs w:val="16"/>
    </w:rPr>
  </w:style>
  <w:style w:type="paragraph" w:styleId="Jegyzetszveg">
    <w:name w:val="annotation text"/>
    <w:basedOn w:val="Norml"/>
    <w:link w:val="JegyzetszvegChar"/>
    <w:uiPriority w:val="99"/>
    <w:semiHidden/>
    <w:unhideWhenUsed/>
    <w:rsid w:val="00B1493D"/>
    <w:rPr>
      <w:sz w:val="20"/>
      <w:szCs w:val="20"/>
    </w:rPr>
  </w:style>
  <w:style w:type="character" w:customStyle="1" w:styleId="JegyzetszvegChar">
    <w:name w:val="Jegyzetszöveg Char"/>
    <w:link w:val="Jegyzetszveg"/>
    <w:uiPriority w:val="99"/>
    <w:semiHidden/>
    <w:rsid w:val="00B1493D"/>
    <w:rPr>
      <w:lang w:val="en-US" w:eastAsia="en-US"/>
    </w:rPr>
  </w:style>
  <w:style w:type="paragraph" w:styleId="Megjegyzstrgya">
    <w:name w:val="annotation subject"/>
    <w:basedOn w:val="Jegyzetszveg"/>
    <w:next w:val="Jegyzetszveg"/>
    <w:link w:val="MegjegyzstrgyaChar"/>
    <w:uiPriority w:val="99"/>
    <w:semiHidden/>
    <w:unhideWhenUsed/>
    <w:rsid w:val="00B1493D"/>
    <w:rPr>
      <w:b/>
      <w:bCs/>
    </w:rPr>
  </w:style>
  <w:style w:type="character" w:customStyle="1" w:styleId="MegjegyzstrgyaChar">
    <w:name w:val="Megjegyzés tárgya Char"/>
    <w:link w:val="Megjegyzstrgya"/>
    <w:uiPriority w:val="99"/>
    <w:semiHidden/>
    <w:rsid w:val="00B1493D"/>
    <w:rPr>
      <w:b/>
      <w:bCs/>
      <w:lang w:val="en-US" w:eastAsia="en-US"/>
    </w:rPr>
  </w:style>
  <w:style w:type="character" w:styleId="Hiperhivatkozs">
    <w:name w:val="Hyperlink"/>
    <w:uiPriority w:val="99"/>
    <w:unhideWhenUsed/>
    <w:rsid w:val="00227CD6"/>
    <w:rPr>
      <w:color w:val="0563C1"/>
      <w:u w:val="single"/>
    </w:rPr>
  </w:style>
  <w:style w:type="table" w:customStyle="1" w:styleId="Rcsostblzat1">
    <w:name w:val="Rácsos táblázat1"/>
    <w:basedOn w:val="Normltblzat"/>
    <w:next w:val="Rcsostblzat"/>
    <w:uiPriority w:val="39"/>
    <w:rsid w:val="00C5798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C57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basedOn w:val="Bekezdsalapbettpusa"/>
    <w:link w:val="llb"/>
    <w:uiPriority w:val="99"/>
    <w:rsid w:val="007026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i@demografi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NKI_levelpapir\nki_levelpapir_angol.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0486C-ADB6-4512-84DB-BF88B8D9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nki_levelpapir_angol</Template>
  <TotalTime>14</TotalTime>
  <Pages>5</Pages>
  <Words>1383</Words>
  <Characters>9544</Characters>
  <Application>Microsoft Office Word</Application>
  <DocSecurity>0</DocSecurity>
  <Lines>79</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Adathasználati megállapodás</vt:lpstr>
      <vt:lpstr>Tisztelt Címzett</vt:lpstr>
    </vt:vector>
  </TitlesOfParts>
  <Company>Anagraphic</Company>
  <LinksUpToDate>false</LinksUpToDate>
  <CharactersWithSpaces>10906</CharactersWithSpaces>
  <SharedDoc>false</SharedDoc>
  <HLinks>
    <vt:vector size="6" baseType="variant">
      <vt:variant>
        <vt:i4>5767286</vt:i4>
      </vt:variant>
      <vt:variant>
        <vt:i4>0</vt:i4>
      </vt:variant>
      <vt:variant>
        <vt:i4>0</vt:i4>
      </vt:variant>
      <vt:variant>
        <vt:i4>5</vt:i4>
      </vt:variant>
      <vt:variant>
        <vt:lpwstr>mailto:nki@demografia.hu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Adathasználati megállapodás</dc:title>
  <dc:subject/>
  <dc:creator>NKI</dc:creator>
  <cp:keywords/>
  <cp:lastModifiedBy>Livia Murinkó</cp:lastModifiedBy>
  <cp:revision>7</cp:revision>
  <cp:lastPrinted>2021-11-18T15:18:00Z</cp:lastPrinted>
  <dcterms:created xsi:type="dcterms:W3CDTF">2021-10-25T11:44:00Z</dcterms:created>
  <dcterms:modified xsi:type="dcterms:W3CDTF">2021-11-18T15:18:00Z</dcterms:modified>
</cp:coreProperties>
</file>